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3634F" w14:textId="77777777" w:rsidR="007229CD" w:rsidRPr="00240A8F" w:rsidRDefault="00F42B78" w:rsidP="00FE4F3A">
      <w:pPr>
        <w:pStyle w:val="Title"/>
      </w:pPr>
      <w:r w:rsidRPr="00240A8F">
        <w:t>Online data supplement</w:t>
      </w:r>
    </w:p>
    <w:p w14:paraId="362598DA" w14:textId="77777777" w:rsidR="007229CD" w:rsidRPr="00240A8F" w:rsidRDefault="00F42B78" w:rsidP="00AC79F4">
      <w:pPr>
        <w:pStyle w:val="Heading1"/>
      </w:pPr>
      <w:r w:rsidRPr="00240A8F">
        <w:t>Supplementary m</w:t>
      </w:r>
      <w:r w:rsidR="007229CD" w:rsidRPr="00240A8F">
        <w:t>ethods</w:t>
      </w:r>
    </w:p>
    <w:p w14:paraId="5B65C427" w14:textId="77777777" w:rsidR="007229CD" w:rsidRPr="00240A8F" w:rsidRDefault="007229CD" w:rsidP="00D0176B">
      <w:pPr>
        <w:pStyle w:val="Heading2"/>
        <w:rPr>
          <w:i/>
        </w:rPr>
      </w:pPr>
      <w:r w:rsidRPr="00240A8F">
        <w:rPr>
          <w:i/>
        </w:rPr>
        <w:t>D</w:t>
      </w:r>
      <w:r w:rsidR="007D21B0" w:rsidRPr="00240A8F">
        <w:rPr>
          <w:i/>
        </w:rPr>
        <w:t xml:space="preserve">efinition of </w:t>
      </w:r>
      <w:r w:rsidR="00F42B78" w:rsidRPr="00240A8F">
        <w:rPr>
          <w:i/>
        </w:rPr>
        <w:t>COPD exacerbations and severity of e</w:t>
      </w:r>
      <w:r w:rsidRPr="00240A8F">
        <w:rPr>
          <w:i/>
        </w:rPr>
        <w:t>xacerbations</w:t>
      </w:r>
    </w:p>
    <w:p w14:paraId="6A22E7A7" w14:textId="77777777" w:rsidR="00F42B78" w:rsidRPr="00240A8F" w:rsidRDefault="007229CD" w:rsidP="00F42B78">
      <w:pPr>
        <w:spacing w:line="480" w:lineRule="auto"/>
        <w:rPr>
          <w:rFonts w:cs="Times New Roman"/>
          <w:b w:val="0"/>
          <w:szCs w:val="24"/>
        </w:rPr>
      </w:pPr>
      <w:r w:rsidRPr="00240A8F">
        <w:rPr>
          <w:rFonts w:cs="Times New Roman"/>
          <w:b w:val="0"/>
          <w:szCs w:val="24"/>
        </w:rPr>
        <w:t xml:space="preserve">During this study, </w:t>
      </w:r>
      <w:r w:rsidR="00862E42" w:rsidRPr="00240A8F">
        <w:rPr>
          <w:rFonts w:cs="Times New Roman"/>
          <w:b w:val="0"/>
          <w:szCs w:val="24"/>
        </w:rPr>
        <w:t>c</w:t>
      </w:r>
      <w:r w:rsidR="007D21B0" w:rsidRPr="00240A8F">
        <w:rPr>
          <w:rFonts w:cs="Times New Roman"/>
          <w:b w:val="0"/>
          <w:szCs w:val="24"/>
        </w:rPr>
        <w:t xml:space="preserve">hronic </w:t>
      </w:r>
      <w:r w:rsidR="00862E42" w:rsidRPr="00240A8F">
        <w:rPr>
          <w:rFonts w:cs="Times New Roman"/>
          <w:b w:val="0"/>
          <w:szCs w:val="24"/>
        </w:rPr>
        <w:t>o</w:t>
      </w:r>
      <w:r w:rsidR="007D21B0" w:rsidRPr="00240A8F">
        <w:rPr>
          <w:rFonts w:cs="Times New Roman"/>
          <w:b w:val="0"/>
          <w:szCs w:val="24"/>
        </w:rPr>
        <w:t xml:space="preserve">bstructive </w:t>
      </w:r>
      <w:r w:rsidR="00862E42" w:rsidRPr="00240A8F">
        <w:rPr>
          <w:rFonts w:cs="Times New Roman"/>
          <w:b w:val="0"/>
          <w:szCs w:val="24"/>
        </w:rPr>
        <w:t>p</w:t>
      </w:r>
      <w:r w:rsidR="007D21B0" w:rsidRPr="00240A8F">
        <w:rPr>
          <w:rFonts w:cs="Times New Roman"/>
          <w:b w:val="0"/>
          <w:szCs w:val="24"/>
        </w:rPr>
        <w:t xml:space="preserve">ulmonary </w:t>
      </w:r>
      <w:r w:rsidR="00862E42" w:rsidRPr="00240A8F">
        <w:rPr>
          <w:rFonts w:cs="Times New Roman"/>
          <w:b w:val="0"/>
          <w:szCs w:val="24"/>
        </w:rPr>
        <w:t>d</w:t>
      </w:r>
      <w:r w:rsidR="007D21B0" w:rsidRPr="00240A8F">
        <w:rPr>
          <w:rFonts w:cs="Times New Roman"/>
          <w:b w:val="0"/>
          <w:szCs w:val="24"/>
        </w:rPr>
        <w:t>isease (</w:t>
      </w:r>
      <w:r w:rsidRPr="00240A8F">
        <w:rPr>
          <w:rFonts w:cs="Times New Roman"/>
          <w:b w:val="0"/>
          <w:szCs w:val="24"/>
        </w:rPr>
        <w:t>COPD</w:t>
      </w:r>
      <w:r w:rsidR="007D21B0" w:rsidRPr="00240A8F">
        <w:rPr>
          <w:rFonts w:cs="Times New Roman"/>
          <w:b w:val="0"/>
          <w:szCs w:val="24"/>
        </w:rPr>
        <w:t>)</w:t>
      </w:r>
      <w:r w:rsidRPr="00240A8F">
        <w:rPr>
          <w:rFonts w:cs="Times New Roman"/>
          <w:b w:val="0"/>
          <w:szCs w:val="24"/>
        </w:rPr>
        <w:t xml:space="preserve"> exacerbations were defined as changes beyond normal day-to-day variation in a patient’s usual COPD symptoms that lasted for ≥2 days, were acute in onset, and may have warranted a change in regular medication. Changes must have included </w:t>
      </w:r>
      <w:r w:rsidR="00B612C7" w:rsidRPr="00240A8F">
        <w:rPr>
          <w:rFonts w:cs="Times New Roman"/>
          <w:b w:val="0"/>
          <w:szCs w:val="24"/>
        </w:rPr>
        <w:t>at least one</w:t>
      </w:r>
      <w:r w:rsidRPr="00240A8F">
        <w:rPr>
          <w:rFonts w:cs="Times New Roman"/>
          <w:b w:val="0"/>
          <w:szCs w:val="24"/>
        </w:rPr>
        <w:t xml:space="preserve"> major COPD symptom (dyspn</w:t>
      </w:r>
      <w:r w:rsidR="004540C7" w:rsidRPr="00240A8F">
        <w:rPr>
          <w:rFonts w:cs="Times New Roman"/>
          <w:b w:val="0"/>
          <w:szCs w:val="24"/>
        </w:rPr>
        <w:t>o</w:t>
      </w:r>
      <w:r w:rsidRPr="00240A8F">
        <w:rPr>
          <w:rFonts w:cs="Times New Roman"/>
          <w:b w:val="0"/>
          <w:szCs w:val="24"/>
        </w:rPr>
        <w:t>ea,</w:t>
      </w:r>
      <w:r w:rsidR="004540C7" w:rsidRPr="00240A8F">
        <w:rPr>
          <w:rFonts w:cs="Times New Roman"/>
          <w:b w:val="0"/>
          <w:szCs w:val="24"/>
        </w:rPr>
        <w:t xml:space="preserve"> sputum volume</w:t>
      </w:r>
      <w:r w:rsidRPr="00240A8F">
        <w:rPr>
          <w:rFonts w:cs="Times New Roman"/>
          <w:b w:val="0"/>
          <w:szCs w:val="24"/>
        </w:rPr>
        <w:t xml:space="preserve"> and sputum </w:t>
      </w:r>
      <w:r w:rsidR="00A933F3" w:rsidRPr="00240A8F">
        <w:rPr>
          <w:rFonts w:cs="Times New Roman"/>
          <w:b w:val="0"/>
          <w:szCs w:val="24"/>
        </w:rPr>
        <w:t>colo</w:t>
      </w:r>
      <w:r w:rsidR="004540C7" w:rsidRPr="00240A8F">
        <w:rPr>
          <w:rFonts w:cs="Times New Roman"/>
          <w:b w:val="0"/>
          <w:szCs w:val="24"/>
        </w:rPr>
        <w:t>u</w:t>
      </w:r>
      <w:r w:rsidR="00A933F3" w:rsidRPr="00240A8F">
        <w:rPr>
          <w:rFonts w:cs="Times New Roman"/>
          <w:b w:val="0"/>
          <w:szCs w:val="24"/>
        </w:rPr>
        <w:t>r</w:t>
      </w:r>
      <w:r w:rsidRPr="00240A8F">
        <w:rPr>
          <w:rFonts w:cs="Times New Roman"/>
          <w:b w:val="0"/>
          <w:szCs w:val="24"/>
        </w:rPr>
        <w:t xml:space="preserve">) and </w:t>
      </w:r>
      <w:r w:rsidR="00B612C7" w:rsidRPr="00240A8F">
        <w:rPr>
          <w:rFonts w:cs="Times New Roman"/>
          <w:b w:val="0"/>
          <w:szCs w:val="24"/>
        </w:rPr>
        <w:t>at least one</w:t>
      </w:r>
      <w:r w:rsidR="004F6F39" w:rsidRPr="00240A8F">
        <w:rPr>
          <w:rFonts w:cs="Times New Roman"/>
          <w:b w:val="0"/>
          <w:szCs w:val="24"/>
        </w:rPr>
        <w:t xml:space="preserve"> other major or</w:t>
      </w:r>
      <w:r w:rsidRPr="00240A8F">
        <w:rPr>
          <w:rFonts w:cs="Times New Roman"/>
          <w:b w:val="0"/>
          <w:szCs w:val="24"/>
        </w:rPr>
        <w:t xml:space="preserve"> minor COPD symptom (cough, wheeze, sore throat, cold symptoms </w:t>
      </w:r>
      <w:r w:rsidR="00BF1AA6" w:rsidRPr="00240A8F">
        <w:rPr>
          <w:rFonts w:cs="Times New Roman"/>
          <w:b w:val="0"/>
          <w:szCs w:val="24"/>
        </w:rPr>
        <w:t>[</w:t>
      </w:r>
      <w:r w:rsidRPr="00240A8F">
        <w:rPr>
          <w:rFonts w:cs="Times New Roman"/>
          <w:b w:val="0"/>
          <w:szCs w:val="24"/>
        </w:rPr>
        <w:t>rhinorrh</w:t>
      </w:r>
      <w:r w:rsidR="004540C7" w:rsidRPr="00240A8F">
        <w:rPr>
          <w:rFonts w:cs="Times New Roman"/>
          <w:b w:val="0"/>
          <w:szCs w:val="24"/>
        </w:rPr>
        <w:t>o</w:t>
      </w:r>
      <w:r w:rsidRPr="00240A8F">
        <w:rPr>
          <w:rFonts w:cs="Times New Roman"/>
          <w:b w:val="0"/>
          <w:szCs w:val="24"/>
        </w:rPr>
        <w:t>ea or nasal congestion</w:t>
      </w:r>
      <w:r w:rsidR="00BF1AA6" w:rsidRPr="00240A8F">
        <w:rPr>
          <w:rFonts w:cs="Times New Roman"/>
          <w:b w:val="0"/>
          <w:szCs w:val="24"/>
        </w:rPr>
        <w:t>]</w:t>
      </w:r>
      <w:r w:rsidRPr="00240A8F">
        <w:rPr>
          <w:rFonts w:cs="Times New Roman"/>
          <w:b w:val="0"/>
          <w:szCs w:val="24"/>
        </w:rPr>
        <w:t xml:space="preserve"> and fever without other cause). Investigators could still define an event as an exacerbation if symptoms were acute or had progressed rapidly and required treatment &lt;2 days from onset, or if overall clinical findings supported the diagnosis of a COPD exacerbation</w:t>
      </w:r>
      <w:r w:rsidR="00D2344E" w:rsidRPr="00240A8F">
        <w:rPr>
          <w:rFonts w:cs="Times New Roman"/>
          <w:b w:val="0"/>
          <w:szCs w:val="24"/>
        </w:rPr>
        <w:t>,</w:t>
      </w:r>
      <w:r w:rsidRPr="00240A8F">
        <w:rPr>
          <w:rFonts w:cs="Times New Roman"/>
          <w:b w:val="0"/>
          <w:szCs w:val="24"/>
        </w:rPr>
        <w:t xml:space="preserve"> but the patient had not experienced a worsening of </w:t>
      </w:r>
      <w:r w:rsidR="00B612C7" w:rsidRPr="00240A8F">
        <w:rPr>
          <w:rFonts w:cs="Times New Roman"/>
          <w:b w:val="0"/>
          <w:szCs w:val="24"/>
        </w:rPr>
        <w:t>one</w:t>
      </w:r>
      <w:r w:rsidRPr="00240A8F">
        <w:rPr>
          <w:rFonts w:cs="Times New Roman"/>
          <w:b w:val="0"/>
          <w:szCs w:val="24"/>
        </w:rPr>
        <w:t xml:space="preserve"> </w:t>
      </w:r>
      <w:r w:rsidR="009A4A12" w:rsidRPr="00240A8F">
        <w:rPr>
          <w:rFonts w:cs="Times New Roman"/>
          <w:b w:val="0"/>
          <w:szCs w:val="24"/>
        </w:rPr>
        <w:t xml:space="preserve">or more </w:t>
      </w:r>
      <w:r w:rsidRPr="00240A8F">
        <w:rPr>
          <w:rFonts w:cs="Times New Roman"/>
          <w:b w:val="0"/>
          <w:szCs w:val="24"/>
        </w:rPr>
        <w:t xml:space="preserve">major COPD symptom and </w:t>
      </w:r>
      <w:r w:rsidR="00B612C7" w:rsidRPr="00240A8F">
        <w:rPr>
          <w:rFonts w:cs="Times New Roman"/>
          <w:b w:val="0"/>
          <w:szCs w:val="24"/>
        </w:rPr>
        <w:t>at least one</w:t>
      </w:r>
      <w:r w:rsidRPr="00240A8F">
        <w:rPr>
          <w:rFonts w:cs="Times New Roman"/>
          <w:b w:val="0"/>
          <w:szCs w:val="24"/>
        </w:rPr>
        <w:t xml:space="preserve"> other major or minor symptom. In these cases, the </w:t>
      </w:r>
      <w:r w:rsidR="002173BC" w:rsidRPr="00240A8F">
        <w:rPr>
          <w:rFonts w:cs="Times New Roman"/>
          <w:b w:val="0"/>
          <w:szCs w:val="24"/>
        </w:rPr>
        <w:t>i</w:t>
      </w:r>
      <w:r w:rsidRPr="00240A8F">
        <w:rPr>
          <w:rFonts w:cs="Times New Roman"/>
          <w:b w:val="0"/>
          <w:szCs w:val="24"/>
        </w:rPr>
        <w:t>nvestigator had to justify the decision for defining the event as an exacerbation and record it in the electronic case report form.</w:t>
      </w:r>
    </w:p>
    <w:p w14:paraId="581DE98D" w14:textId="77777777" w:rsidR="007229CD" w:rsidRPr="00240A8F" w:rsidRDefault="007229CD" w:rsidP="00F42B78">
      <w:pPr>
        <w:spacing w:line="480" w:lineRule="auto"/>
        <w:rPr>
          <w:rFonts w:cs="Times New Roman"/>
          <w:b w:val="0"/>
          <w:szCs w:val="24"/>
        </w:rPr>
      </w:pPr>
      <w:r w:rsidRPr="00240A8F">
        <w:rPr>
          <w:rFonts w:cs="Times New Roman"/>
          <w:b w:val="0"/>
          <w:szCs w:val="24"/>
        </w:rPr>
        <w:t xml:space="preserve">A COPD exacerbation was defined as moderate if it required </w:t>
      </w:r>
      <w:r w:rsidR="00D2344E" w:rsidRPr="00240A8F">
        <w:rPr>
          <w:rFonts w:cs="Times New Roman"/>
          <w:b w:val="0"/>
          <w:szCs w:val="24"/>
        </w:rPr>
        <w:t xml:space="preserve">the </w:t>
      </w:r>
      <w:r w:rsidRPr="00240A8F">
        <w:rPr>
          <w:rFonts w:cs="Times New Roman"/>
          <w:b w:val="0"/>
          <w:szCs w:val="24"/>
        </w:rPr>
        <w:t>use of systemic corticosteroids and/or antibiotics for ≥3 days (a single depot injectable dose of corticosteroids w</w:t>
      </w:r>
      <w:r w:rsidR="009A4A12" w:rsidRPr="00240A8F">
        <w:rPr>
          <w:rFonts w:cs="Times New Roman"/>
          <w:b w:val="0"/>
          <w:szCs w:val="24"/>
        </w:rPr>
        <w:t>as considered equivalent to a 3-</w:t>
      </w:r>
      <w:r w:rsidRPr="00240A8F">
        <w:rPr>
          <w:rFonts w:cs="Times New Roman"/>
          <w:b w:val="0"/>
          <w:szCs w:val="24"/>
        </w:rPr>
        <w:t>day course of systemic corticosteroids) and as severe if it res</w:t>
      </w:r>
      <w:r w:rsidR="004540C7" w:rsidRPr="00240A8F">
        <w:rPr>
          <w:rFonts w:cs="Times New Roman"/>
          <w:b w:val="0"/>
          <w:szCs w:val="24"/>
        </w:rPr>
        <w:t>ulted in COPD-related hospitalis</w:t>
      </w:r>
      <w:r w:rsidRPr="00240A8F">
        <w:rPr>
          <w:rFonts w:cs="Times New Roman"/>
          <w:b w:val="0"/>
          <w:szCs w:val="24"/>
        </w:rPr>
        <w:t>ation or death. A COPD exacerbation that did not meet any requirements to be classified as moderate/severe was considered mild.</w:t>
      </w:r>
    </w:p>
    <w:p w14:paraId="0E95B80B" w14:textId="77777777" w:rsidR="00425F0A" w:rsidRPr="00240A8F" w:rsidRDefault="00425F0A" w:rsidP="00D0176B">
      <w:pPr>
        <w:pStyle w:val="Heading2"/>
        <w:rPr>
          <w:i/>
        </w:rPr>
      </w:pPr>
      <w:r w:rsidRPr="00240A8F">
        <w:rPr>
          <w:i/>
        </w:rPr>
        <w:lastRenderedPageBreak/>
        <w:t>Key exclusion criteria</w:t>
      </w:r>
    </w:p>
    <w:p w14:paraId="20C22E1A" w14:textId="77777777" w:rsidR="00425F0A" w:rsidRPr="00240A8F" w:rsidRDefault="00425F0A" w:rsidP="00425F0A">
      <w:pPr>
        <w:spacing w:line="480" w:lineRule="auto"/>
        <w:rPr>
          <w:rFonts w:cs="Times New Roman"/>
          <w:b w:val="0"/>
          <w:i/>
          <w:szCs w:val="24"/>
        </w:rPr>
      </w:pPr>
      <w:r w:rsidRPr="00240A8F">
        <w:rPr>
          <w:rFonts w:cs="Times New Roman"/>
          <w:b w:val="0"/>
          <w:szCs w:val="24"/>
        </w:rPr>
        <w:t>Patients with COPD due to α</w:t>
      </w:r>
      <w:r w:rsidRPr="00240A8F">
        <w:rPr>
          <w:rFonts w:cs="Times New Roman"/>
          <w:b w:val="0"/>
          <w:szCs w:val="24"/>
          <w:vertAlign w:val="subscript"/>
        </w:rPr>
        <w:t>1</w:t>
      </w:r>
      <w:r w:rsidRPr="00240A8F">
        <w:rPr>
          <w:rFonts w:cs="Times New Roman"/>
          <w:b w:val="0"/>
          <w:szCs w:val="24"/>
        </w:rPr>
        <w:t>-antitrypsin deficiency, or other respiratory disorders such as lung cancer and cystic fibrosis, were excluded.</w:t>
      </w:r>
      <w:r w:rsidR="00444EB0" w:rsidRPr="00240A8F">
        <w:rPr>
          <w:rFonts w:cs="Times New Roman"/>
          <w:b w:val="0"/>
          <w:szCs w:val="24"/>
        </w:rPr>
        <w:t xml:space="preserve"> Patients must have been able to demonstrate </w:t>
      </w:r>
      <w:r w:rsidR="00D2344E" w:rsidRPr="00240A8F">
        <w:rPr>
          <w:rFonts w:cs="Times New Roman"/>
          <w:b w:val="0"/>
          <w:szCs w:val="24"/>
        </w:rPr>
        <w:t xml:space="preserve">the </w:t>
      </w:r>
      <w:r w:rsidR="00444EB0" w:rsidRPr="00240A8F">
        <w:rPr>
          <w:rFonts w:cs="Times New Roman"/>
          <w:b w:val="0"/>
          <w:szCs w:val="24"/>
        </w:rPr>
        <w:t xml:space="preserve">correct </w:t>
      </w:r>
      <w:r w:rsidR="00FA466E" w:rsidRPr="00240A8F">
        <w:rPr>
          <w:rFonts w:cs="Times New Roman"/>
          <w:b w:val="0"/>
          <w:szCs w:val="24"/>
        </w:rPr>
        <w:t xml:space="preserve">metered dose inhaler </w:t>
      </w:r>
      <w:r w:rsidR="00444EB0" w:rsidRPr="00240A8F">
        <w:rPr>
          <w:rFonts w:cs="Times New Roman"/>
          <w:b w:val="0"/>
          <w:szCs w:val="24"/>
        </w:rPr>
        <w:t>administration technique.</w:t>
      </w:r>
    </w:p>
    <w:p w14:paraId="546F6673" w14:textId="77777777" w:rsidR="007229CD" w:rsidRPr="00240A8F" w:rsidRDefault="00F42B78" w:rsidP="00D0176B">
      <w:pPr>
        <w:pStyle w:val="Heading2"/>
        <w:rPr>
          <w:i/>
        </w:rPr>
      </w:pPr>
      <w:r w:rsidRPr="00240A8F">
        <w:rPr>
          <w:i/>
        </w:rPr>
        <w:t>Prohibited m</w:t>
      </w:r>
      <w:r w:rsidR="0067351B" w:rsidRPr="00240A8F">
        <w:rPr>
          <w:i/>
        </w:rPr>
        <w:t>edications</w:t>
      </w:r>
    </w:p>
    <w:p w14:paraId="50BA1CCC" w14:textId="77777777" w:rsidR="007229CD" w:rsidRPr="00240A8F" w:rsidRDefault="007229CD" w:rsidP="007229CD">
      <w:pPr>
        <w:spacing w:line="480" w:lineRule="auto"/>
        <w:rPr>
          <w:rFonts w:cs="Times New Roman"/>
          <w:b w:val="0"/>
          <w:szCs w:val="24"/>
        </w:rPr>
      </w:pPr>
      <w:r w:rsidRPr="00240A8F">
        <w:rPr>
          <w:rFonts w:cs="Times New Roman"/>
          <w:b w:val="0"/>
          <w:szCs w:val="24"/>
        </w:rPr>
        <w:t>Prohibited COPD medications, including short-acting and long</w:t>
      </w:r>
      <w:r w:rsidR="00F44CBC" w:rsidRPr="00240A8F">
        <w:rPr>
          <w:rFonts w:cs="Times New Roman"/>
          <w:b w:val="0"/>
          <w:szCs w:val="24"/>
        </w:rPr>
        <w:t>-</w:t>
      </w:r>
      <w:r w:rsidRPr="00240A8F">
        <w:rPr>
          <w:rFonts w:cs="Times New Roman"/>
          <w:b w:val="0"/>
          <w:szCs w:val="24"/>
        </w:rPr>
        <w:t>acting bronchodila</w:t>
      </w:r>
      <w:r w:rsidR="009A4A12" w:rsidRPr="00240A8F">
        <w:rPr>
          <w:rFonts w:cs="Times New Roman"/>
          <w:b w:val="0"/>
          <w:szCs w:val="24"/>
        </w:rPr>
        <w:t>tors (alone or as part of fixed-</w:t>
      </w:r>
      <w:r w:rsidRPr="00240A8F">
        <w:rPr>
          <w:rFonts w:cs="Times New Roman"/>
          <w:b w:val="0"/>
          <w:szCs w:val="24"/>
        </w:rPr>
        <w:t xml:space="preserve">dose combination therapies), oral β-agonists and theophylline (at doses &gt;400 mg/day) were </w:t>
      </w:r>
      <w:r w:rsidR="0018757B" w:rsidRPr="00240A8F">
        <w:rPr>
          <w:rFonts w:cs="Times New Roman"/>
          <w:b w:val="0"/>
          <w:szCs w:val="24"/>
        </w:rPr>
        <w:t>discontinued at the start of</w:t>
      </w:r>
      <w:r w:rsidRPr="00240A8F">
        <w:rPr>
          <w:rFonts w:cs="Times New Roman"/>
          <w:b w:val="0"/>
          <w:szCs w:val="24"/>
        </w:rPr>
        <w:t xml:space="preserve"> </w:t>
      </w:r>
      <w:r w:rsidR="00B612C7" w:rsidRPr="00240A8F">
        <w:rPr>
          <w:rFonts w:cs="Times New Roman"/>
          <w:b w:val="0"/>
          <w:szCs w:val="24"/>
        </w:rPr>
        <w:t>s</w:t>
      </w:r>
      <w:r w:rsidRPr="00240A8F">
        <w:rPr>
          <w:rFonts w:cs="Times New Roman"/>
          <w:b w:val="0"/>
          <w:szCs w:val="24"/>
        </w:rPr>
        <w:t>creening. Foods and beverages containing xanthine or caffeine</w:t>
      </w:r>
      <w:r w:rsidR="00D51D94" w:rsidRPr="00240A8F">
        <w:rPr>
          <w:rFonts w:cs="Times New Roman"/>
          <w:b w:val="0"/>
          <w:szCs w:val="24"/>
        </w:rPr>
        <w:t>, and caffeine-containing medications</w:t>
      </w:r>
      <w:r w:rsidR="004540C7" w:rsidRPr="00240A8F">
        <w:rPr>
          <w:rFonts w:cs="Times New Roman"/>
          <w:b w:val="0"/>
          <w:szCs w:val="24"/>
        </w:rPr>
        <w:t>,</w:t>
      </w:r>
      <w:r w:rsidRPr="00240A8F">
        <w:rPr>
          <w:rFonts w:cs="Times New Roman"/>
          <w:b w:val="0"/>
          <w:szCs w:val="24"/>
        </w:rPr>
        <w:t xml:space="preserve"> were prohibited for ≥6 hours </w:t>
      </w:r>
      <w:r w:rsidR="00D2344E" w:rsidRPr="00240A8F">
        <w:rPr>
          <w:rFonts w:cs="Times New Roman"/>
          <w:b w:val="0"/>
          <w:szCs w:val="24"/>
        </w:rPr>
        <w:t>before</w:t>
      </w:r>
      <w:r w:rsidR="004540C7" w:rsidRPr="00240A8F">
        <w:rPr>
          <w:rFonts w:cs="Times New Roman"/>
          <w:b w:val="0"/>
          <w:szCs w:val="24"/>
        </w:rPr>
        <w:t>,</w:t>
      </w:r>
      <w:r w:rsidRPr="00240A8F">
        <w:rPr>
          <w:rFonts w:cs="Times New Roman"/>
          <w:b w:val="0"/>
          <w:szCs w:val="24"/>
        </w:rPr>
        <w:t xml:space="preserve"> and for the duration of</w:t>
      </w:r>
      <w:r w:rsidR="004540C7" w:rsidRPr="00240A8F">
        <w:rPr>
          <w:rFonts w:cs="Times New Roman"/>
          <w:b w:val="0"/>
          <w:szCs w:val="24"/>
        </w:rPr>
        <w:t>,</w:t>
      </w:r>
      <w:r w:rsidRPr="00240A8F">
        <w:rPr>
          <w:rFonts w:cs="Times New Roman"/>
          <w:b w:val="0"/>
          <w:szCs w:val="24"/>
        </w:rPr>
        <w:t xml:space="preserve"> each in-clinic study visit.</w:t>
      </w:r>
    </w:p>
    <w:p w14:paraId="0EEFA1D8" w14:textId="77777777" w:rsidR="007229CD" w:rsidRPr="00240A8F" w:rsidRDefault="00F42B78" w:rsidP="00D0176B">
      <w:pPr>
        <w:pStyle w:val="Heading2"/>
        <w:rPr>
          <w:i/>
        </w:rPr>
      </w:pPr>
      <w:r w:rsidRPr="00240A8F">
        <w:rPr>
          <w:i/>
        </w:rPr>
        <w:t>Analysis p</w:t>
      </w:r>
      <w:r w:rsidR="0075402C" w:rsidRPr="00240A8F">
        <w:rPr>
          <w:i/>
        </w:rPr>
        <w:t>opulations</w:t>
      </w:r>
    </w:p>
    <w:p w14:paraId="1A2085E1" w14:textId="77777777" w:rsidR="007229CD" w:rsidRPr="00240A8F" w:rsidRDefault="007229CD" w:rsidP="007229CD">
      <w:pPr>
        <w:spacing w:line="480" w:lineRule="auto"/>
        <w:rPr>
          <w:rFonts w:cs="Times New Roman"/>
          <w:b w:val="0"/>
          <w:szCs w:val="24"/>
        </w:rPr>
      </w:pPr>
      <w:r w:rsidRPr="00240A8F">
        <w:rPr>
          <w:rFonts w:cs="Times New Roman"/>
          <w:b w:val="0"/>
          <w:szCs w:val="24"/>
        </w:rPr>
        <w:t xml:space="preserve">The intent-to-treat (ITT) population, defined as all patients who were </w:t>
      </w:r>
      <w:r w:rsidR="00E506C2" w:rsidRPr="00240A8F">
        <w:rPr>
          <w:rFonts w:cs="Times New Roman"/>
          <w:b w:val="0"/>
          <w:szCs w:val="24"/>
        </w:rPr>
        <w:t>randomise</w:t>
      </w:r>
      <w:r w:rsidRPr="00240A8F">
        <w:rPr>
          <w:rFonts w:cs="Times New Roman"/>
          <w:b w:val="0"/>
          <w:szCs w:val="24"/>
        </w:rPr>
        <w:t xml:space="preserve">d to and received any amount of the study drug, was used for sensitivity analyses. Patients </w:t>
      </w:r>
      <w:r w:rsidR="004540C7" w:rsidRPr="00240A8F">
        <w:rPr>
          <w:rFonts w:cs="Times New Roman"/>
          <w:b w:val="0"/>
          <w:szCs w:val="24"/>
        </w:rPr>
        <w:t>were analys</w:t>
      </w:r>
      <w:r w:rsidRPr="00240A8F">
        <w:rPr>
          <w:rFonts w:cs="Times New Roman"/>
          <w:b w:val="0"/>
          <w:szCs w:val="24"/>
        </w:rPr>
        <w:t>ed according to the treatment they were assigned</w:t>
      </w:r>
      <w:r w:rsidR="004540C7" w:rsidRPr="00240A8F">
        <w:rPr>
          <w:rFonts w:cs="Times New Roman"/>
          <w:b w:val="0"/>
          <w:szCs w:val="24"/>
        </w:rPr>
        <w:t xml:space="preserve"> at randomis</w:t>
      </w:r>
      <w:r w:rsidRPr="00240A8F">
        <w:rPr>
          <w:rFonts w:cs="Times New Roman"/>
          <w:b w:val="0"/>
          <w:szCs w:val="24"/>
        </w:rPr>
        <w:t xml:space="preserve">ation. Data obtained after discontinuation of treatment, but </w:t>
      </w:r>
      <w:r w:rsidR="00D2344E" w:rsidRPr="00240A8F">
        <w:rPr>
          <w:rFonts w:cs="Times New Roman"/>
          <w:b w:val="0"/>
          <w:szCs w:val="24"/>
        </w:rPr>
        <w:t>before</w:t>
      </w:r>
      <w:r w:rsidRPr="00240A8F">
        <w:rPr>
          <w:rFonts w:cs="Times New Roman"/>
          <w:b w:val="0"/>
          <w:szCs w:val="24"/>
        </w:rPr>
        <w:t xml:space="preserve"> withdrawal from the study, were included. The modified </w:t>
      </w:r>
      <w:r w:rsidR="00B612C7" w:rsidRPr="00240A8F">
        <w:rPr>
          <w:rFonts w:cs="Times New Roman"/>
          <w:b w:val="0"/>
          <w:szCs w:val="24"/>
        </w:rPr>
        <w:t>ITT</w:t>
      </w:r>
      <w:r w:rsidRPr="00240A8F">
        <w:rPr>
          <w:rFonts w:cs="Times New Roman"/>
          <w:b w:val="0"/>
          <w:szCs w:val="24"/>
        </w:rPr>
        <w:t xml:space="preserve"> population was a subset of the ITT population, defined as</w:t>
      </w:r>
      <w:r w:rsidR="004540C7" w:rsidRPr="00240A8F">
        <w:rPr>
          <w:rFonts w:cs="Times New Roman"/>
          <w:b w:val="0"/>
          <w:szCs w:val="24"/>
        </w:rPr>
        <w:t xml:space="preserve"> all patients with post-randomis</w:t>
      </w:r>
      <w:r w:rsidRPr="00240A8F">
        <w:rPr>
          <w:rFonts w:cs="Times New Roman"/>
          <w:b w:val="0"/>
          <w:szCs w:val="24"/>
        </w:rPr>
        <w:t xml:space="preserve">ation data obtained </w:t>
      </w:r>
      <w:r w:rsidR="00D2344E" w:rsidRPr="00240A8F">
        <w:rPr>
          <w:rFonts w:cs="Times New Roman"/>
          <w:b w:val="0"/>
          <w:szCs w:val="24"/>
        </w:rPr>
        <w:t>before</w:t>
      </w:r>
      <w:r w:rsidRPr="00240A8F">
        <w:rPr>
          <w:rFonts w:cs="Times New Roman"/>
          <w:b w:val="0"/>
          <w:szCs w:val="24"/>
        </w:rPr>
        <w:t xml:space="preserve"> treatment discontinuation (including patients who took less than </w:t>
      </w:r>
      <w:r w:rsidR="00FA466E" w:rsidRPr="00240A8F">
        <w:rPr>
          <w:rFonts w:cs="Times New Roman"/>
          <w:b w:val="0"/>
          <w:szCs w:val="24"/>
        </w:rPr>
        <w:t>one</w:t>
      </w:r>
      <w:r w:rsidRPr="00240A8F">
        <w:rPr>
          <w:rFonts w:cs="Times New Roman"/>
          <w:b w:val="0"/>
          <w:szCs w:val="24"/>
        </w:rPr>
        <w:t xml:space="preserve"> full dose of study drug). Any data collected after completion of</w:t>
      </w:r>
      <w:r w:rsidR="00E860B7" w:rsidRPr="00240A8F">
        <w:rPr>
          <w:rFonts w:cs="Times New Roman"/>
          <w:b w:val="0"/>
          <w:szCs w:val="24"/>
        </w:rPr>
        <w:t>,</w:t>
      </w:r>
      <w:r w:rsidRPr="00240A8F">
        <w:rPr>
          <w:rFonts w:cs="Times New Roman"/>
          <w:b w:val="0"/>
          <w:szCs w:val="24"/>
        </w:rPr>
        <w:t xml:space="preserve"> </w:t>
      </w:r>
      <w:r w:rsidR="00E860B7" w:rsidRPr="00240A8F">
        <w:rPr>
          <w:rFonts w:cs="Times New Roman"/>
          <w:b w:val="0"/>
          <w:szCs w:val="24"/>
        </w:rPr>
        <w:t>or discontinuation from, randomis</w:t>
      </w:r>
      <w:r w:rsidRPr="00240A8F">
        <w:rPr>
          <w:rFonts w:cs="Times New Roman"/>
          <w:b w:val="0"/>
          <w:szCs w:val="24"/>
        </w:rPr>
        <w:t xml:space="preserve">ed study drug were excluded. Patients </w:t>
      </w:r>
      <w:r w:rsidR="00E860B7" w:rsidRPr="00240A8F">
        <w:rPr>
          <w:rFonts w:cs="Times New Roman"/>
          <w:b w:val="0"/>
          <w:szCs w:val="24"/>
        </w:rPr>
        <w:t>were analys</w:t>
      </w:r>
      <w:r w:rsidRPr="00240A8F">
        <w:rPr>
          <w:rFonts w:cs="Times New Roman"/>
          <w:b w:val="0"/>
          <w:szCs w:val="24"/>
        </w:rPr>
        <w:t xml:space="preserve">ed according to </w:t>
      </w:r>
      <w:r w:rsidR="00E860B7" w:rsidRPr="00240A8F">
        <w:rPr>
          <w:rFonts w:cs="Times New Roman"/>
          <w:b w:val="0"/>
          <w:szCs w:val="24"/>
        </w:rPr>
        <w:t>randomis</w:t>
      </w:r>
      <w:r w:rsidRPr="00240A8F">
        <w:rPr>
          <w:rFonts w:cs="Times New Roman"/>
          <w:b w:val="0"/>
          <w:szCs w:val="24"/>
        </w:rPr>
        <w:t>ed treatment group. The safety population was defined a</w:t>
      </w:r>
      <w:r w:rsidR="00E860B7" w:rsidRPr="00240A8F">
        <w:rPr>
          <w:rFonts w:cs="Times New Roman"/>
          <w:b w:val="0"/>
          <w:szCs w:val="24"/>
        </w:rPr>
        <w:t>s all patients who were randomis</w:t>
      </w:r>
      <w:r w:rsidRPr="00240A8F">
        <w:rPr>
          <w:rFonts w:cs="Times New Roman"/>
          <w:b w:val="0"/>
          <w:szCs w:val="24"/>
        </w:rPr>
        <w:t>ed and received study drug</w:t>
      </w:r>
      <w:r w:rsidR="001900BB" w:rsidRPr="00240A8F">
        <w:rPr>
          <w:rFonts w:cs="Times New Roman"/>
          <w:b w:val="0"/>
          <w:szCs w:val="24"/>
        </w:rPr>
        <w:t xml:space="preserve"> (includi</w:t>
      </w:r>
      <w:r w:rsidR="00B612C7" w:rsidRPr="00240A8F">
        <w:rPr>
          <w:rFonts w:cs="Times New Roman"/>
          <w:b w:val="0"/>
          <w:szCs w:val="24"/>
        </w:rPr>
        <w:t>ng patients who took less than one</w:t>
      </w:r>
      <w:r w:rsidR="001900BB" w:rsidRPr="00240A8F">
        <w:rPr>
          <w:rFonts w:cs="Times New Roman"/>
          <w:b w:val="0"/>
          <w:szCs w:val="24"/>
        </w:rPr>
        <w:t xml:space="preserve"> full dose)</w:t>
      </w:r>
      <w:r w:rsidRPr="00240A8F">
        <w:rPr>
          <w:rFonts w:cs="Times New Roman"/>
          <w:b w:val="0"/>
          <w:szCs w:val="24"/>
        </w:rPr>
        <w:t>.</w:t>
      </w:r>
    </w:p>
    <w:p w14:paraId="6CBCDB3B" w14:textId="44CEDA16" w:rsidR="0067351B" w:rsidRPr="00240A8F" w:rsidRDefault="0067351B" w:rsidP="00D0176B">
      <w:pPr>
        <w:pStyle w:val="Heading2"/>
        <w:rPr>
          <w:i/>
        </w:rPr>
      </w:pPr>
      <w:r w:rsidRPr="00240A8F">
        <w:rPr>
          <w:i/>
        </w:rPr>
        <w:lastRenderedPageBreak/>
        <w:t xml:space="preserve">Efficacy </w:t>
      </w:r>
      <w:r w:rsidR="00F42B78" w:rsidRPr="00240A8F">
        <w:rPr>
          <w:i/>
        </w:rPr>
        <w:t>e</w:t>
      </w:r>
      <w:r w:rsidR="00FE00F1" w:rsidRPr="00240A8F">
        <w:rPr>
          <w:i/>
        </w:rPr>
        <w:t>ndpoints</w:t>
      </w:r>
      <w:r w:rsidR="00F42B78" w:rsidRPr="00240A8F">
        <w:rPr>
          <w:i/>
        </w:rPr>
        <w:t xml:space="preserve"> for </w:t>
      </w:r>
      <w:r w:rsidR="002C2BBB">
        <w:rPr>
          <w:i/>
        </w:rPr>
        <w:t>E</w:t>
      </w:r>
      <w:r w:rsidR="00F42B78" w:rsidRPr="00240A8F">
        <w:rPr>
          <w:i/>
        </w:rPr>
        <w:t>x-US a</w:t>
      </w:r>
      <w:r w:rsidRPr="00240A8F">
        <w:rPr>
          <w:i/>
        </w:rPr>
        <w:t>pproach</w:t>
      </w:r>
    </w:p>
    <w:p w14:paraId="2433661D" w14:textId="01624776" w:rsidR="00F42B78" w:rsidRPr="00240A8F" w:rsidRDefault="001900BB" w:rsidP="00F42B78">
      <w:pPr>
        <w:spacing w:line="480" w:lineRule="auto"/>
        <w:rPr>
          <w:rFonts w:cs="Times New Roman"/>
          <w:b w:val="0"/>
          <w:szCs w:val="24"/>
        </w:rPr>
      </w:pPr>
      <w:r w:rsidRPr="00240A8F">
        <w:rPr>
          <w:rFonts w:cs="Times New Roman"/>
          <w:b w:val="0"/>
          <w:szCs w:val="24"/>
        </w:rPr>
        <w:t xml:space="preserve">The primary and secondary endpoints, and the time frames for the analysis of each, differed depending on regional regulatory requirements. Two registration approaches, US and </w:t>
      </w:r>
      <w:r w:rsidR="002C2BBB">
        <w:rPr>
          <w:rFonts w:cs="Times New Roman"/>
          <w:b w:val="0"/>
          <w:szCs w:val="24"/>
        </w:rPr>
        <w:t>E</w:t>
      </w:r>
      <w:r w:rsidRPr="00240A8F">
        <w:rPr>
          <w:rFonts w:cs="Times New Roman"/>
          <w:b w:val="0"/>
          <w:szCs w:val="24"/>
        </w:rPr>
        <w:t xml:space="preserve">x-US, were used in the study. The main manuscript describes the analysis using the US approach. The endpoints and analysis for the </w:t>
      </w:r>
      <w:r w:rsidR="002C2BBB">
        <w:rPr>
          <w:rFonts w:cs="Times New Roman"/>
          <w:b w:val="0"/>
          <w:szCs w:val="24"/>
        </w:rPr>
        <w:t>E</w:t>
      </w:r>
      <w:r w:rsidRPr="00240A8F">
        <w:rPr>
          <w:rFonts w:cs="Times New Roman"/>
          <w:b w:val="0"/>
          <w:szCs w:val="24"/>
        </w:rPr>
        <w:t xml:space="preserve">x-US approach are described </w:t>
      </w:r>
      <w:r w:rsidR="009A4A12" w:rsidRPr="00240A8F">
        <w:rPr>
          <w:rFonts w:cs="Times New Roman"/>
          <w:b w:val="0"/>
          <w:szCs w:val="24"/>
        </w:rPr>
        <w:t>below</w:t>
      </w:r>
      <w:r w:rsidR="00CD1893" w:rsidRPr="00240A8F">
        <w:rPr>
          <w:rFonts w:cs="Times New Roman"/>
          <w:b w:val="0"/>
          <w:szCs w:val="24"/>
        </w:rPr>
        <w:t xml:space="preserve">. </w:t>
      </w:r>
      <w:r w:rsidR="00425F0A" w:rsidRPr="00240A8F">
        <w:rPr>
          <w:rFonts w:cs="Times New Roman"/>
          <w:b w:val="0"/>
          <w:szCs w:val="24"/>
        </w:rPr>
        <w:t>For</w:t>
      </w:r>
      <w:r w:rsidR="0067351B" w:rsidRPr="00240A8F">
        <w:rPr>
          <w:rFonts w:cs="Times New Roman"/>
          <w:b w:val="0"/>
          <w:szCs w:val="24"/>
        </w:rPr>
        <w:t xml:space="preserve"> the </w:t>
      </w:r>
      <w:r w:rsidR="002C2BBB">
        <w:rPr>
          <w:rFonts w:cs="Times New Roman"/>
          <w:b w:val="0"/>
          <w:szCs w:val="24"/>
        </w:rPr>
        <w:t>E</w:t>
      </w:r>
      <w:r w:rsidR="0067351B" w:rsidRPr="00240A8F">
        <w:rPr>
          <w:rFonts w:cs="Times New Roman"/>
          <w:b w:val="0"/>
          <w:szCs w:val="24"/>
        </w:rPr>
        <w:t xml:space="preserve">x-US approach, the primary endpoint was the change from baseline in morning pre-dose trough </w:t>
      </w:r>
      <w:r w:rsidR="009A4A12" w:rsidRPr="00240A8F">
        <w:rPr>
          <w:rFonts w:cs="Times New Roman"/>
          <w:b w:val="0"/>
          <w:szCs w:val="24"/>
        </w:rPr>
        <w:t>forced expiratory volume in 1 second (FEV</w:t>
      </w:r>
      <w:r w:rsidR="009A4A12" w:rsidRPr="00240A8F">
        <w:rPr>
          <w:rFonts w:cs="Times New Roman"/>
          <w:b w:val="0"/>
          <w:szCs w:val="24"/>
          <w:vertAlign w:val="subscript"/>
        </w:rPr>
        <w:t>1</w:t>
      </w:r>
      <w:r w:rsidR="009A4A12" w:rsidRPr="00240A8F">
        <w:rPr>
          <w:rFonts w:cs="Times New Roman"/>
          <w:b w:val="0"/>
          <w:szCs w:val="24"/>
        </w:rPr>
        <w:t>)</w:t>
      </w:r>
      <w:r w:rsidR="00E860B7" w:rsidRPr="00240A8F">
        <w:rPr>
          <w:rFonts w:cs="Times New Roman"/>
          <w:b w:val="0"/>
          <w:szCs w:val="24"/>
        </w:rPr>
        <w:t xml:space="preserve"> over 24 weeks, analys</w:t>
      </w:r>
      <w:r w:rsidR="0067351B" w:rsidRPr="00240A8F">
        <w:rPr>
          <w:rFonts w:cs="Times New Roman"/>
          <w:b w:val="0"/>
          <w:szCs w:val="24"/>
        </w:rPr>
        <w:t xml:space="preserve">ed using the efficacy </w:t>
      </w:r>
      <w:proofErr w:type="spellStart"/>
      <w:r w:rsidR="0067351B" w:rsidRPr="00240A8F">
        <w:rPr>
          <w:rFonts w:cs="Times New Roman"/>
          <w:b w:val="0"/>
          <w:szCs w:val="24"/>
        </w:rPr>
        <w:t>estimand</w:t>
      </w:r>
      <w:proofErr w:type="spellEnd"/>
      <w:r w:rsidR="0067351B" w:rsidRPr="00240A8F">
        <w:rPr>
          <w:rFonts w:cs="Times New Roman"/>
          <w:b w:val="0"/>
          <w:szCs w:val="24"/>
        </w:rPr>
        <w:t xml:space="preserve">. </w:t>
      </w:r>
      <w:r w:rsidR="00FE00F1" w:rsidRPr="00240A8F">
        <w:rPr>
          <w:rFonts w:cs="Times New Roman"/>
          <w:b w:val="0"/>
          <w:szCs w:val="24"/>
        </w:rPr>
        <w:t xml:space="preserve">The </w:t>
      </w:r>
      <w:r w:rsidRPr="00240A8F">
        <w:rPr>
          <w:rFonts w:cs="Times New Roman"/>
          <w:b w:val="0"/>
          <w:szCs w:val="24"/>
        </w:rPr>
        <w:t xml:space="preserve">same </w:t>
      </w:r>
      <w:r w:rsidR="00FE00F1" w:rsidRPr="00240A8F">
        <w:rPr>
          <w:rFonts w:cs="Times New Roman"/>
          <w:b w:val="0"/>
          <w:szCs w:val="24"/>
        </w:rPr>
        <w:t>analysis using</w:t>
      </w:r>
      <w:r w:rsidR="0067351B" w:rsidRPr="00240A8F">
        <w:rPr>
          <w:rFonts w:cs="Times New Roman"/>
          <w:b w:val="0"/>
          <w:szCs w:val="24"/>
        </w:rPr>
        <w:t xml:space="preserve"> </w:t>
      </w:r>
      <w:r w:rsidR="00223E40" w:rsidRPr="00240A8F">
        <w:rPr>
          <w:rFonts w:cs="Times New Roman"/>
          <w:b w:val="0"/>
          <w:szCs w:val="24"/>
        </w:rPr>
        <w:t>an</w:t>
      </w:r>
      <w:r w:rsidR="0067351B" w:rsidRPr="00240A8F">
        <w:rPr>
          <w:rFonts w:cs="Times New Roman"/>
          <w:b w:val="0"/>
          <w:szCs w:val="24"/>
        </w:rPr>
        <w:t xml:space="preserve"> attributable </w:t>
      </w:r>
      <w:proofErr w:type="spellStart"/>
      <w:r w:rsidR="0067351B" w:rsidRPr="00240A8F">
        <w:rPr>
          <w:rFonts w:cs="Times New Roman"/>
          <w:b w:val="0"/>
          <w:szCs w:val="24"/>
        </w:rPr>
        <w:t>estimand</w:t>
      </w:r>
      <w:proofErr w:type="spellEnd"/>
      <w:r w:rsidRPr="00240A8F">
        <w:rPr>
          <w:rFonts w:cs="Times New Roman"/>
          <w:b w:val="0"/>
          <w:szCs w:val="24"/>
        </w:rPr>
        <w:t xml:space="preserve"> was </w:t>
      </w:r>
      <w:r w:rsidR="00223E40" w:rsidRPr="00240A8F">
        <w:rPr>
          <w:rFonts w:cs="Times New Roman"/>
          <w:b w:val="0"/>
          <w:szCs w:val="24"/>
        </w:rPr>
        <w:t>the first</w:t>
      </w:r>
      <w:r w:rsidRPr="00240A8F">
        <w:rPr>
          <w:rFonts w:cs="Times New Roman"/>
          <w:b w:val="0"/>
          <w:szCs w:val="24"/>
        </w:rPr>
        <w:t xml:space="preserve"> secondary endpoint</w:t>
      </w:r>
      <w:r w:rsidR="0067351B" w:rsidRPr="00240A8F">
        <w:rPr>
          <w:rFonts w:cs="Times New Roman"/>
          <w:b w:val="0"/>
          <w:szCs w:val="24"/>
        </w:rPr>
        <w:t>.</w:t>
      </w:r>
    </w:p>
    <w:p w14:paraId="62E12DCA" w14:textId="01BFD7B8" w:rsidR="00F42B78" w:rsidRPr="00240A8F" w:rsidRDefault="00FE00F1" w:rsidP="00F42B78">
      <w:pPr>
        <w:spacing w:line="480" w:lineRule="auto"/>
        <w:rPr>
          <w:rFonts w:cs="Times New Roman"/>
          <w:b w:val="0"/>
          <w:szCs w:val="24"/>
        </w:rPr>
      </w:pPr>
      <w:r w:rsidRPr="00240A8F">
        <w:rPr>
          <w:rFonts w:cs="Times New Roman"/>
          <w:b w:val="0"/>
          <w:szCs w:val="24"/>
        </w:rPr>
        <w:t>Further s</w:t>
      </w:r>
      <w:r w:rsidR="0067351B" w:rsidRPr="00240A8F">
        <w:rPr>
          <w:rFonts w:cs="Times New Roman"/>
          <w:b w:val="0"/>
          <w:szCs w:val="24"/>
        </w:rPr>
        <w:t>econdary endpoints were</w:t>
      </w:r>
      <w:r w:rsidRPr="00240A8F">
        <w:rPr>
          <w:rFonts w:cs="Times New Roman"/>
          <w:b w:val="0"/>
          <w:szCs w:val="24"/>
        </w:rPr>
        <w:t>:</w:t>
      </w:r>
      <w:r w:rsidR="0067351B" w:rsidRPr="00240A8F">
        <w:rPr>
          <w:rFonts w:cs="Times New Roman"/>
          <w:b w:val="0"/>
          <w:szCs w:val="24"/>
        </w:rPr>
        <w:t xml:space="preserve"> the percentage of patients achieving a </w:t>
      </w:r>
      <w:r w:rsidRPr="00240A8F">
        <w:rPr>
          <w:rFonts w:cs="Times New Roman"/>
          <w:b w:val="0"/>
          <w:szCs w:val="24"/>
        </w:rPr>
        <w:t>minimal clinically important difference</w:t>
      </w:r>
      <w:r w:rsidR="0067351B" w:rsidRPr="00240A8F">
        <w:rPr>
          <w:rFonts w:cs="Times New Roman"/>
          <w:b w:val="0"/>
          <w:szCs w:val="24"/>
        </w:rPr>
        <w:t xml:space="preserve"> ≥4 units in </w:t>
      </w:r>
      <w:r w:rsidRPr="00240A8F">
        <w:rPr>
          <w:rFonts w:cs="Times New Roman"/>
          <w:b w:val="0"/>
          <w:szCs w:val="24"/>
        </w:rPr>
        <w:t>St George’s Respiratory Questionnaire (</w:t>
      </w:r>
      <w:r w:rsidR="0067351B" w:rsidRPr="00240A8F">
        <w:rPr>
          <w:rFonts w:cs="Times New Roman"/>
          <w:b w:val="0"/>
          <w:szCs w:val="24"/>
        </w:rPr>
        <w:t>SGRQ</w:t>
      </w:r>
      <w:r w:rsidRPr="00240A8F">
        <w:rPr>
          <w:rFonts w:cs="Times New Roman"/>
          <w:b w:val="0"/>
          <w:szCs w:val="24"/>
        </w:rPr>
        <w:t>)</w:t>
      </w:r>
      <w:r w:rsidR="0067351B" w:rsidRPr="00240A8F">
        <w:rPr>
          <w:rFonts w:cs="Times New Roman"/>
          <w:b w:val="0"/>
          <w:szCs w:val="24"/>
        </w:rPr>
        <w:t xml:space="preserve"> total score</w:t>
      </w:r>
      <w:r w:rsidRPr="00240A8F">
        <w:rPr>
          <w:rFonts w:cs="Times New Roman"/>
          <w:b w:val="0"/>
          <w:szCs w:val="24"/>
        </w:rPr>
        <w:t xml:space="preserve"> (responder rate) </w:t>
      </w:r>
      <w:r w:rsidR="0044614F" w:rsidRPr="00240A8F">
        <w:rPr>
          <w:rFonts w:cs="Times New Roman"/>
          <w:b w:val="0"/>
          <w:szCs w:val="24"/>
        </w:rPr>
        <w:t>over 24 weeks</w:t>
      </w:r>
      <w:r w:rsidR="0067351B" w:rsidRPr="00240A8F">
        <w:rPr>
          <w:rFonts w:cs="Times New Roman"/>
          <w:b w:val="0"/>
          <w:szCs w:val="24"/>
        </w:rPr>
        <w:t>; change from baseline in average daily rescue medication use</w:t>
      </w:r>
      <w:r w:rsidRPr="00240A8F">
        <w:rPr>
          <w:rFonts w:cs="Times New Roman"/>
          <w:b w:val="0"/>
          <w:szCs w:val="24"/>
        </w:rPr>
        <w:t xml:space="preserve"> over 24 weeks</w:t>
      </w:r>
      <w:r w:rsidR="0067351B" w:rsidRPr="00240A8F">
        <w:rPr>
          <w:rFonts w:cs="Times New Roman"/>
          <w:b w:val="0"/>
          <w:szCs w:val="24"/>
        </w:rPr>
        <w:t>; change from baseline in the Exacerbations of Chronic Pulmonary Disease Tool (EXACT) total score</w:t>
      </w:r>
      <w:r w:rsidR="00204C02" w:rsidRPr="00240A8F">
        <w:rPr>
          <w:rFonts w:cs="Times New Roman"/>
          <w:b w:val="0"/>
          <w:szCs w:val="24"/>
        </w:rPr>
        <w:t xml:space="preserve"> </w:t>
      </w:r>
      <w:r w:rsidR="003B4E19">
        <w:rPr>
          <w:rFonts w:cs="Times New Roman"/>
          <w:b w:val="0"/>
          <w:noProof/>
          <w:szCs w:val="24"/>
        </w:rPr>
        <w:t>[</w:t>
      </w:r>
      <w:r w:rsidR="00FE4F3A">
        <w:rPr>
          <w:rFonts w:cs="Times New Roman"/>
          <w:b w:val="0"/>
          <w:noProof/>
          <w:szCs w:val="24"/>
        </w:rPr>
        <w:t>1</w:t>
      </w:r>
      <w:r w:rsidR="003B4E19">
        <w:rPr>
          <w:rFonts w:cs="Times New Roman"/>
          <w:b w:val="0"/>
          <w:noProof/>
          <w:szCs w:val="24"/>
        </w:rPr>
        <w:t>]</w:t>
      </w:r>
      <w:r w:rsidRPr="00240A8F">
        <w:rPr>
          <w:rFonts w:cs="Times New Roman"/>
          <w:b w:val="0"/>
          <w:szCs w:val="24"/>
        </w:rPr>
        <w:t xml:space="preserve"> </w:t>
      </w:r>
      <w:r w:rsidR="0044614F" w:rsidRPr="00240A8F">
        <w:rPr>
          <w:rFonts w:cs="Times New Roman"/>
          <w:b w:val="0"/>
          <w:szCs w:val="24"/>
        </w:rPr>
        <w:t>over 24 weeks</w:t>
      </w:r>
      <w:r w:rsidR="0067351B" w:rsidRPr="00240A8F">
        <w:rPr>
          <w:rFonts w:cs="Times New Roman"/>
          <w:b w:val="0"/>
          <w:szCs w:val="24"/>
        </w:rPr>
        <w:t xml:space="preserve">; </w:t>
      </w:r>
      <w:r w:rsidR="00B736F3" w:rsidRPr="00240A8F">
        <w:rPr>
          <w:rFonts w:cs="Times New Roman"/>
          <w:b w:val="0"/>
          <w:szCs w:val="24"/>
        </w:rPr>
        <w:t>T</w:t>
      </w:r>
      <w:r w:rsidR="0075402C" w:rsidRPr="00240A8F">
        <w:rPr>
          <w:rFonts w:cs="Times New Roman"/>
          <w:b w:val="0"/>
          <w:szCs w:val="24"/>
        </w:rPr>
        <w:t xml:space="preserve">ransition </w:t>
      </w:r>
      <w:r w:rsidR="00E860B7" w:rsidRPr="00240A8F">
        <w:rPr>
          <w:rFonts w:cs="Times New Roman"/>
          <w:b w:val="0"/>
          <w:szCs w:val="24"/>
        </w:rPr>
        <w:t>Dyspnoea</w:t>
      </w:r>
      <w:r w:rsidR="0075402C" w:rsidRPr="00240A8F">
        <w:rPr>
          <w:rFonts w:cs="Times New Roman"/>
          <w:b w:val="0"/>
          <w:szCs w:val="24"/>
        </w:rPr>
        <w:t xml:space="preserve"> </w:t>
      </w:r>
      <w:r w:rsidR="00B736F3" w:rsidRPr="00240A8F">
        <w:rPr>
          <w:rFonts w:cs="Times New Roman"/>
          <w:b w:val="0"/>
          <w:szCs w:val="24"/>
        </w:rPr>
        <w:t>I</w:t>
      </w:r>
      <w:r w:rsidR="0075402C" w:rsidRPr="00240A8F">
        <w:rPr>
          <w:rFonts w:cs="Times New Roman"/>
          <w:b w:val="0"/>
          <w:szCs w:val="24"/>
        </w:rPr>
        <w:t>ndex (</w:t>
      </w:r>
      <w:r w:rsidR="0067351B" w:rsidRPr="00240A8F">
        <w:rPr>
          <w:rFonts w:cs="Times New Roman"/>
          <w:b w:val="0"/>
          <w:szCs w:val="24"/>
        </w:rPr>
        <w:t>TDI</w:t>
      </w:r>
      <w:r w:rsidR="0075402C" w:rsidRPr="00240A8F">
        <w:rPr>
          <w:rFonts w:cs="Times New Roman"/>
          <w:b w:val="0"/>
          <w:szCs w:val="24"/>
        </w:rPr>
        <w:t>)</w:t>
      </w:r>
      <w:r w:rsidR="0067351B" w:rsidRPr="00240A8F">
        <w:rPr>
          <w:rFonts w:cs="Times New Roman"/>
          <w:b w:val="0"/>
          <w:szCs w:val="24"/>
        </w:rPr>
        <w:t xml:space="preserve"> focal score</w:t>
      </w:r>
      <w:r w:rsidR="0030713D" w:rsidRPr="00240A8F">
        <w:rPr>
          <w:rFonts w:cs="Times New Roman"/>
          <w:b w:val="0"/>
          <w:szCs w:val="24"/>
        </w:rPr>
        <w:t xml:space="preserve"> </w:t>
      </w:r>
      <w:r w:rsidR="003B4E19">
        <w:rPr>
          <w:rFonts w:cs="Times New Roman"/>
          <w:b w:val="0"/>
          <w:noProof/>
          <w:szCs w:val="24"/>
        </w:rPr>
        <w:t>[</w:t>
      </w:r>
      <w:r w:rsidR="00FE4F3A">
        <w:rPr>
          <w:rFonts w:cs="Times New Roman"/>
          <w:b w:val="0"/>
          <w:noProof/>
          <w:szCs w:val="24"/>
        </w:rPr>
        <w:t>2</w:t>
      </w:r>
      <w:r w:rsidR="003B4E19">
        <w:rPr>
          <w:rFonts w:cs="Times New Roman"/>
          <w:b w:val="0"/>
          <w:noProof/>
          <w:szCs w:val="24"/>
        </w:rPr>
        <w:t>]</w:t>
      </w:r>
      <w:r w:rsidR="0030713D" w:rsidRPr="00240A8F">
        <w:rPr>
          <w:rFonts w:cs="Times New Roman"/>
          <w:b w:val="0"/>
          <w:szCs w:val="24"/>
        </w:rPr>
        <w:t xml:space="preserve"> </w:t>
      </w:r>
      <w:r w:rsidR="0044614F" w:rsidRPr="00240A8F">
        <w:rPr>
          <w:rFonts w:cs="Times New Roman"/>
          <w:b w:val="0"/>
          <w:szCs w:val="24"/>
        </w:rPr>
        <w:t>over 24 weeks</w:t>
      </w:r>
      <w:r w:rsidRPr="00240A8F">
        <w:rPr>
          <w:rFonts w:cs="Times New Roman"/>
          <w:b w:val="0"/>
          <w:szCs w:val="24"/>
        </w:rPr>
        <w:t xml:space="preserve">; </w:t>
      </w:r>
      <w:r w:rsidR="0067351B" w:rsidRPr="00240A8F">
        <w:rPr>
          <w:rFonts w:cs="Times New Roman"/>
          <w:b w:val="0"/>
          <w:szCs w:val="24"/>
        </w:rPr>
        <w:t>time to first moderate/severe COPD exacerbation</w:t>
      </w:r>
      <w:r w:rsidR="0075402C" w:rsidRPr="00240A8F">
        <w:rPr>
          <w:rFonts w:cs="Times New Roman"/>
          <w:b w:val="0"/>
          <w:szCs w:val="24"/>
        </w:rPr>
        <w:t>;</w:t>
      </w:r>
      <w:r w:rsidR="0067351B" w:rsidRPr="00240A8F">
        <w:rPr>
          <w:rFonts w:cs="Times New Roman"/>
          <w:b w:val="0"/>
          <w:szCs w:val="24"/>
        </w:rPr>
        <w:t xml:space="preserve"> and time to first clinically important deterioration (CID). </w:t>
      </w:r>
      <w:r w:rsidR="00BA1851" w:rsidRPr="00240A8F">
        <w:rPr>
          <w:rFonts w:cs="Times New Roman"/>
          <w:b w:val="0"/>
          <w:szCs w:val="24"/>
        </w:rPr>
        <w:t>A CID was defined as either a ≥100 mL decrease from baseline in trough FEV</w:t>
      </w:r>
      <w:r w:rsidR="00BA1851" w:rsidRPr="00240A8F">
        <w:rPr>
          <w:rFonts w:cs="Times New Roman"/>
          <w:b w:val="0"/>
          <w:szCs w:val="24"/>
          <w:vertAlign w:val="subscript"/>
        </w:rPr>
        <w:t>1</w:t>
      </w:r>
      <w:r w:rsidR="00BA1851" w:rsidRPr="00240A8F">
        <w:rPr>
          <w:rFonts w:cs="Times New Roman"/>
          <w:b w:val="0"/>
          <w:szCs w:val="24"/>
        </w:rPr>
        <w:t>; ≥4 points increase from baseline in SGRQ total score; a TDI focal score of ≤</w:t>
      </w:r>
      <w:r w:rsidR="002F7425" w:rsidRPr="00240A8F">
        <w:rPr>
          <w:rFonts w:cs="Times New Roman"/>
          <w:b w:val="0"/>
          <w:szCs w:val="24"/>
        </w:rPr>
        <w:t>−</w:t>
      </w:r>
      <w:r w:rsidR="00BA1851" w:rsidRPr="00240A8F">
        <w:rPr>
          <w:rFonts w:cs="Times New Roman"/>
          <w:b w:val="0"/>
          <w:szCs w:val="24"/>
        </w:rPr>
        <w:t>1 point; or treatment-emergent moderate-or-severe COP</w:t>
      </w:r>
      <w:r w:rsidR="00A13949" w:rsidRPr="00240A8F">
        <w:rPr>
          <w:rFonts w:cs="Times New Roman"/>
          <w:b w:val="0"/>
          <w:szCs w:val="24"/>
        </w:rPr>
        <w:t>D exacerbation occurring up to w</w:t>
      </w:r>
      <w:r w:rsidR="00BA1851" w:rsidRPr="00240A8F">
        <w:rPr>
          <w:rFonts w:cs="Times New Roman"/>
          <w:b w:val="0"/>
          <w:szCs w:val="24"/>
        </w:rPr>
        <w:t>eek 52.</w:t>
      </w:r>
      <w:r w:rsidR="00204C02" w:rsidRPr="00240A8F">
        <w:rPr>
          <w:rFonts w:cs="Times New Roman"/>
          <w:b w:val="0"/>
          <w:szCs w:val="24"/>
        </w:rPr>
        <w:t xml:space="preserve"> </w:t>
      </w:r>
      <w:r w:rsidR="00D2344E" w:rsidRPr="00240A8F">
        <w:rPr>
          <w:rFonts w:cs="Times New Roman"/>
          <w:b w:val="0"/>
          <w:szCs w:val="24"/>
        </w:rPr>
        <w:t>The r</w:t>
      </w:r>
      <w:r w:rsidR="0067351B" w:rsidRPr="00240A8F">
        <w:rPr>
          <w:rFonts w:cs="Times New Roman"/>
          <w:b w:val="0"/>
          <w:szCs w:val="24"/>
        </w:rPr>
        <w:t>ate of moderate/severe exacerbations over the treatment period was also assessed.</w:t>
      </w:r>
    </w:p>
    <w:p w14:paraId="73A6949E" w14:textId="77777777" w:rsidR="0067351B" w:rsidRPr="00240A8F" w:rsidRDefault="0067351B" w:rsidP="00F42B78">
      <w:pPr>
        <w:spacing w:line="480" w:lineRule="auto"/>
        <w:rPr>
          <w:rFonts w:cs="Times New Roman"/>
          <w:b w:val="0"/>
          <w:szCs w:val="24"/>
        </w:rPr>
      </w:pPr>
      <w:r w:rsidRPr="00240A8F">
        <w:rPr>
          <w:rFonts w:cs="Times New Roman"/>
          <w:b w:val="0"/>
          <w:szCs w:val="24"/>
        </w:rPr>
        <w:t>Subgroup analys</w:t>
      </w:r>
      <w:r w:rsidR="00FE00F1" w:rsidRPr="00240A8F">
        <w:rPr>
          <w:rFonts w:cs="Times New Roman"/>
          <w:b w:val="0"/>
          <w:szCs w:val="24"/>
        </w:rPr>
        <w:t>e</w:t>
      </w:r>
      <w:r w:rsidRPr="00240A8F">
        <w:rPr>
          <w:rFonts w:cs="Times New Roman"/>
          <w:b w:val="0"/>
          <w:szCs w:val="24"/>
        </w:rPr>
        <w:t>s of change from baseline in morning pre-dose trough FEV</w:t>
      </w:r>
      <w:r w:rsidRPr="00240A8F">
        <w:rPr>
          <w:rFonts w:cs="Times New Roman"/>
          <w:b w:val="0"/>
          <w:szCs w:val="24"/>
          <w:vertAlign w:val="subscript"/>
        </w:rPr>
        <w:t>1</w:t>
      </w:r>
      <w:r w:rsidR="009A4A12" w:rsidRPr="00240A8F">
        <w:rPr>
          <w:rFonts w:cs="Times New Roman"/>
          <w:b w:val="0"/>
          <w:szCs w:val="24"/>
        </w:rPr>
        <w:t xml:space="preserve"> over 24 </w:t>
      </w:r>
      <w:r w:rsidRPr="00240A8F">
        <w:rPr>
          <w:rFonts w:cs="Times New Roman"/>
          <w:b w:val="0"/>
          <w:szCs w:val="24"/>
        </w:rPr>
        <w:t xml:space="preserve">weeks were performed according to patients’ history of moderate/severe COPD exacerbations in the </w:t>
      </w:r>
      <w:r w:rsidR="00FE00F1" w:rsidRPr="00240A8F">
        <w:rPr>
          <w:rFonts w:cs="Times New Roman"/>
          <w:b w:val="0"/>
          <w:szCs w:val="24"/>
        </w:rPr>
        <w:t>previous</w:t>
      </w:r>
      <w:r w:rsidRPr="00240A8F">
        <w:rPr>
          <w:rFonts w:cs="Times New Roman"/>
          <w:b w:val="0"/>
          <w:szCs w:val="24"/>
        </w:rPr>
        <w:t xml:space="preserve"> 12 months (1 or ≥2)</w:t>
      </w:r>
      <w:r w:rsidR="00FE00F1" w:rsidRPr="00240A8F">
        <w:rPr>
          <w:rFonts w:cs="Times New Roman"/>
          <w:b w:val="0"/>
          <w:szCs w:val="24"/>
        </w:rPr>
        <w:t xml:space="preserve"> and baseline blood eosinophil count (&lt;150 or ≥150 cells/mm</w:t>
      </w:r>
      <w:r w:rsidR="00FE00F1" w:rsidRPr="00240A8F">
        <w:rPr>
          <w:rFonts w:cs="Times New Roman"/>
          <w:b w:val="0"/>
          <w:szCs w:val="24"/>
          <w:vertAlign w:val="superscript"/>
        </w:rPr>
        <w:t>3</w:t>
      </w:r>
      <w:r w:rsidR="00FE00F1" w:rsidRPr="00240A8F">
        <w:rPr>
          <w:rFonts w:cs="Times New Roman"/>
          <w:b w:val="0"/>
          <w:szCs w:val="24"/>
        </w:rPr>
        <w:t>)</w:t>
      </w:r>
      <w:r w:rsidRPr="00240A8F">
        <w:rPr>
          <w:rFonts w:cs="Times New Roman"/>
          <w:b w:val="0"/>
          <w:szCs w:val="24"/>
        </w:rPr>
        <w:t>.</w:t>
      </w:r>
    </w:p>
    <w:p w14:paraId="58A0635D" w14:textId="77777777" w:rsidR="00FE00F1" w:rsidRPr="00240A8F" w:rsidRDefault="00F42B78" w:rsidP="00D0176B">
      <w:pPr>
        <w:pStyle w:val="Heading2"/>
        <w:rPr>
          <w:i/>
        </w:rPr>
      </w:pPr>
      <w:r w:rsidRPr="00240A8F">
        <w:rPr>
          <w:i/>
        </w:rPr>
        <w:lastRenderedPageBreak/>
        <w:t>Efficacy a</w:t>
      </w:r>
      <w:r w:rsidR="00FE00F1" w:rsidRPr="00240A8F">
        <w:rPr>
          <w:i/>
        </w:rPr>
        <w:t>nalyses</w:t>
      </w:r>
    </w:p>
    <w:p w14:paraId="1C10CB44" w14:textId="5DBED557" w:rsidR="00632D01" w:rsidRPr="00240A8F" w:rsidRDefault="00632D01" w:rsidP="00632D01">
      <w:pPr>
        <w:spacing w:line="480" w:lineRule="auto"/>
        <w:rPr>
          <w:rFonts w:cs="Times New Roman"/>
          <w:b w:val="0"/>
          <w:szCs w:val="24"/>
        </w:rPr>
      </w:pPr>
      <w:r w:rsidRPr="00240A8F">
        <w:rPr>
          <w:rFonts w:cs="Times New Roman"/>
          <w:b w:val="0"/>
          <w:szCs w:val="24"/>
        </w:rPr>
        <w:t xml:space="preserve">The efficacy </w:t>
      </w:r>
      <w:proofErr w:type="spellStart"/>
      <w:r w:rsidRPr="00240A8F">
        <w:rPr>
          <w:rFonts w:cs="Times New Roman"/>
          <w:b w:val="0"/>
          <w:szCs w:val="24"/>
        </w:rPr>
        <w:t>estimand</w:t>
      </w:r>
      <w:proofErr w:type="spellEnd"/>
      <w:r w:rsidRPr="00240A8F">
        <w:rPr>
          <w:rFonts w:cs="Times New Roman"/>
          <w:b w:val="0"/>
          <w:szCs w:val="24"/>
        </w:rPr>
        <w:t xml:space="preserve"> was the primary </w:t>
      </w:r>
      <w:proofErr w:type="spellStart"/>
      <w:r w:rsidRPr="00240A8F">
        <w:rPr>
          <w:rFonts w:cs="Times New Roman"/>
          <w:b w:val="0"/>
          <w:szCs w:val="24"/>
        </w:rPr>
        <w:t>estimand</w:t>
      </w:r>
      <w:proofErr w:type="spellEnd"/>
      <w:r w:rsidR="00A55D4A" w:rsidRPr="00240A8F">
        <w:rPr>
          <w:rFonts w:cs="Times New Roman"/>
          <w:b w:val="0"/>
          <w:szCs w:val="24"/>
        </w:rPr>
        <w:t xml:space="preserve"> of interest</w:t>
      </w:r>
      <w:r w:rsidRPr="00240A8F">
        <w:rPr>
          <w:rFonts w:cs="Times New Roman"/>
          <w:b w:val="0"/>
          <w:szCs w:val="24"/>
        </w:rPr>
        <w:t xml:space="preserve"> for analysis of the primary and secondary endpoints for both the US and </w:t>
      </w:r>
      <w:r w:rsidR="002C2BBB">
        <w:rPr>
          <w:rFonts w:cs="Times New Roman"/>
          <w:b w:val="0"/>
          <w:szCs w:val="24"/>
        </w:rPr>
        <w:t>E</w:t>
      </w:r>
      <w:r w:rsidRPr="00240A8F">
        <w:rPr>
          <w:rFonts w:cs="Times New Roman"/>
          <w:b w:val="0"/>
          <w:szCs w:val="24"/>
        </w:rPr>
        <w:t xml:space="preserve">x-US registration approaches. The efficacy </w:t>
      </w:r>
      <w:proofErr w:type="spellStart"/>
      <w:r w:rsidRPr="00240A8F">
        <w:rPr>
          <w:rFonts w:cs="Times New Roman"/>
          <w:b w:val="0"/>
          <w:szCs w:val="24"/>
        </w:rPr>
        <w:t>estimand</w:t>
      </w:r>
      <w:proofErr w:type="spellEnd"/>
      <w:r w:rsidRPr="00240A8F">
        <w:rPr>
          <w:rFonts w:cs="Times New Roman"/>
          <w:b w:val="0"/>
          <w:szCs w:val="24"/>
        </w:rPr>
        <w:t xml:space="preserve"> </w:t>
      </w:r>
      <w:r w:rsidR="004D7E89" w:rsidRPr="00240A8F">
        <w:rPr>
          <w:rFonts w:cs="Times New Roman"/>
          <w:b w:val="0"/>
          <w:szCs w:val="24"/>
        </w:rPr>
        <w:t>was defin</w:t>
      </w:r>
      <w:r w:rsidR="00E860B7" w:rsidRPr="00240A8F">
        <w:rPr>
          <w:rFonts w:cs="Times New Roman"/>
          <w:b w:val="0"/>
          <w:szCs w:val="24"/>
        </w:rPr>
        <w:t>ed as the effect of the randomis</w:t>
      </w:r>
      <w:r w:rsidR="004D7E89" w:rsidRPr="00240A8F">
        <w:rPr>
          <w:rFonts w:cs="Times New Roman"/>
          <w:b w:val="0"/>
          <w:szCs w:val="24"/>
        </w:rPr>
        <w:t>ed treatment in all patients</w:t>
      </w:r>
      <w:r w:rsidR="00E860B7" w:rsidRPr="00240A8F">
        <w:rPr>
          <w:rFonts w:cs="Times New Roman"/>
          <w:b w:val="0"/>
          <w:szCs w:val="24"/>
        </w:rPr>
        <w:t>,</w:t>
      </w:r>
      <w:r w:rsidR="004D7E89" w:rsidRPr="00240A8F">
        <w:rPr>
          <w:rFonts w:cs="Times New Roman"/>
          <w:b w:val="0"/>
          <w:szCs w:val="24"/>
        </w:rPr>
        <w:t xml:space="preserve"> assuming </w:t>
      </w:r>
      <w:r w:rsidRPr="00240A8F">
        <w:rPr>
          <w:rFonts w:cs="Times New Roman"/>
          <w:b w:val="0"/>
          <w:szCs w:val="24"/>
        </w:rPr>
        <w:t xml:space="preserve">all patients continued treatment for the duration of the study, regardless of actual compliance. The attributable </w:t>
      </w:r>
      <w:proofErr w:type="spellStart"/>
      <w:r w:rsidRPr="00240A8F">
        <w:rPr>
          <w:rFonts w:cs="Times New Roman"/>
          <w:b w:val="0"/>
          <w:szCs w:val="24"/>
        </w:rPr>
        <w:t>estimand</w:t>
      </w:r>
      <w:proofErr w:type="spellEnd"/>
      <w:r w:rsidRPr="00240A8F">
        <w:rPr>
          <w:rFonts w:cs="Times New Roman"/>
          <w:b w:val="0"/>
          <w:szCs w:val="24"/>
        </w:rPr>
        <w:t xml:space="preserve">, used for secondary analysis of the primary endpoint, </w:t>
      </w:r>
      <w:r w:rsidR="004D7E89" w:rsidRPr="00240A8F">
        <w:rPr>
          <w:rFonts w:cs="Times New Roman"/>
          <w:b w:val="0"/>
          <w:szCs w:val="24"/>
        </w:rPr>
        <w:t>was defined as the effect of treatment in patie</w:t>
      </w:r>
      <w:r w:rsidR="00E860B7" w:rsidRPr="00240A8F">
        <w:rPr>
          <w:rFonts w:cs="Times New Roman"/>
          <w:b w:val="0"/>
          <w:szCs w:val="24"/>
        </w:rPr>
        <w:t>nts attributable to the randomis</w:t>
      </w:r>
      <w:r w:rsidR="004D7E89" w:rsidRPr="00240A8F">
        <w:rPr>
          <w:rFonts w:cs="Times New Roman"/>
          <w:b w:val="0"/>
          <w:szCs w:val="24"/>
        </w:rPr>
        <w:t xml:space="preserve">ed treatment </w:t>
      </w:r>
      <w:r w:rsidR="00D46E3C" w:rsidRPr="00240A8F">
        <w:rPr>
          <w:rFonts w:cs="Times New Roman"/>
          <w:b w:val="0"/>
          <w:szCs w:val="24"/>
        </w:rPr>
        <w:t xml:space="preserve">and </w:t>
      </w:r>
      <w:r w:rsidRPr="00240A8F">
        <w:rPr>
          <w:rFonts w:cs="Times New Roman"/>
          <w:b w:val="0"/>
          <w:szCs w:val="24"/>
        </w:rPr>
        <w:t xml:space="preserve">considered </w:t>
      </w:r>
      <w:r w:rsidR="004D7E89" w:rsidRPr="00240A8F">
        <w:rPr>
          <w:rFonts w:cs="Times New Roman"/>
          <w:b w:val="0"/>
          <w:szCs w:val="24"/>
        </w:rPr>
        <w:t xml:space="preserve">treatment </w:t>
      </w:r>
      <w:r w:rsidRPr="00240A8F">
        <w:rPr>
          <w:rFonts w:cs="Times New Roman"/>
          <w:b w:val="0"/>
          <w:szCs w:val="24"/>
        </w:rPr>
        <w:t>discontinuation</w:t>
      </w:r>
      <w:r w:rsidR="004D7E89" w:rsidRPr="00240A8F">
        <w:rPr>
          <w:rFonts w:cs="Times New Roman"/>
          <w:b w:val="0"/>
          <w:szCs w:val="24"/>
        </w:rPr>
        <w:t xml:space="preserve"> </w:t>
      </w:r>
      <w:r w:rsidRPr="00240A8F">
        <w:rPr>
          <w:rFonts w:cs="Times New Roman"/>
          <w:b w:val="0"/>
          <w:szCs w:val="24"/>
        </w:rPr>
        <w:t xml:space="preserve">due to lack of </w:t>
      </w:r>
      <w:r w:rsidR="004D7E89" w:rsidRPr="00240A8F">
        <w:rPr>
          <w:rFonts w:cs="Times New Roman"/>
          <w:b w:val="0"/>
          <w:szCs w:val="24"/>
        </w:rPr>
        <w:t xml:space="preserve">tolerability or </w:t>
      </w:r>
      <w:r w:rsidR="0025400C" w:rsidRPr="00240A8F">
        <w:rPr>
          <w:rFonts w:cs="Times New Roman"/>
          <w:b w:val="0"/>
          <w:szCs w:val="24"/>
        </w:rPr>
        <w:t xml:space="preserve">efficacy as </w:t>
      </w:r>
      <w:r w:rsidR="00E860B7" w:rsidRPr="00240A8F">
        <w:rPr>
          <w:rFonts w:cs="Times New Roman"/>
          <w:b w:val="0"/>
          <w:szCs w:val="24"/>
        </w:rPr>
        <w:t>unfavourable</w:t>
      </w:r>
      <w:r w:rsidRPr="00240A8F">
        <w:rPr>
          <w:rFonts w:cs="Times New Roman"/>
          <w:b w:val="0"/>
          <w:szCs w:val="24"/>
        </w:rPr>
        <w:t xml:space="preserve"> outcomes.</w:t>
      </w:r>
    </w:p>
    <w:p w14:paraId="4B52B96F" w14:textId="204376FD" w:rsidR="00F42B78" w:rsidRPr="00240A8F" w:rsidRDefault="00FE00F1" w:rsidP="00F42B78">
      <w:pPr>
        <w:spacing w:line="480" w:lineRule="auto"/>
        <w:rPr>
          <w:rFonts w:cs="Times New Roman"/>
          <w:b w:val="0"/>
          <w:szCs w:val="24"/>
        </w:rPr>
      </w:pPr>
      <w:r w:rsidRPr="00240A8F">
        <w:rPr>
          <w:rFonts w:cs="Times New Roman"/>
          <w:b w:val="0"/>
          <w:szCs w:val="24"/>
        </w:rPr>
        <w:t xml:space="preserve">For both the US and </w:t>
      </w:r>
      <w:r w:rsidR="002C2BBB">
        <w:rPr>
          <w:rFonts w:cs="Times New Roman"/>
          <w:b w:val="0"/>
          <w:szCs w:val="24"/>
        </w:rPr>
        <w:t>E</w:t>
      </w:r>
      <w:r w:rsidRPr="00240A8F">
        <w:rPr>
          <w:rFonts w:cs="Times New Roman"/>
          <w:b w:val="0"/>
          <w:szCs w:val="24"/>
        </w:rPr>
        <w:t xml:space="preserve">x-US </w:t>
      </w:r>
      <w:r w:rsidR="00204C02" w:rsidRPr="00240A8F">
        <w:rPr>
          <w:rFonts w:cs="Times New Roman"/>
          <w:b w:val="0"/>
          <w:szCs w:val="24"/>
        </w:rPr>
        <w:t xml:space="preserve">registration </w:t>
      </w:r>
      <w:r w:rsidRPr="00240A8F">
        <w:rPr>
          <w:rFonts w:cs="Times New Roman"/>
          <w:b w:val="0"/>
          <w:szCs w:val="24"/>
        </w:rPr>
        <w:t>approaches, t</w:t>
      </w:r>
      <w:r w:rsidR="007229CD" w:rsidRPr="00240A8F">
        <w:rPr>
          <w:rFonts w:cs="Times New Roman"/>
          <w:b w:val="0"/>
          <w:szCs w:val="24"/>
        </w:rPr>
        <w:t xml:space="preserve">he primary endpoint was </w:t>
      </w:r>
      <w:r w:rsidR="00E860B7" w:rsidRPr="00240A8F">
        <w:rPr>
          <w:rFonts w:cs="Times New Roman"/>
          <w:b w:val="0"/>
          <w:szCs w:val="24"/>
        </w:rPr>
        <w:t>analysed</w:t>
      </w:r>
      <w:r w:rsidR="00FC5CCC" w:rsidRPr="00240A8F">
        <w:rPr>
          <w:rFonts w:cs="Times New Roman"/>
          <w:b w:val="0"/>
          <w:szCs w:val="24"/>
        </w:rPr>
        <w:t xml:space="preserve"> using a repeated measures </w:t>
      </w:r>
      <w:r w:rsidR="007229CD" w:rsidRPr="00240A8F">
        <w:rPr>
          <w:rFonts w:cs="Times New Roman"/>
          <w:b w:val="0"/>
          <w:szCs w:val="24"/>
        </w:rPr>
        <w:t xml:space="preserve">linear mixed model. The model included treatment, visit, treatment-by-visit interaction and </w:t>
      </w:r>
      <w:r w:rsidR="00234EA9" w:rsidRPr="00240A8F">
        <w:rPr>
          <w:rFonts w:cs="Times New Roman"/>
          <w:b w:val="0"/>
          <w:szCs w:val="24"/>
        </w:rPr>
        <w:t>inhaled corticosteroid</w:t>
      </w:r>
      <w:r w:rsidR="007229CD" w:rsidRPr="00240A8F">
        <w:rPr>
          <w:rFonts w:cs="Times New Roman"/>
          <w:b w:val="0"/>
          <w:szCs w:val="24"/>
        </w:rPr>
        <w:t xml:space="preserve"> use at </w:t>
      </w:r>
      <w:r w:rsidR="00234EA9" w:rsidRPr="00240A8F">
        <w:rPr>
          <w:rFonts w:cs="Times New Roman"/>
          <w:b w:val="0"/>
          <w:szCs w:val="24"/>
        </w:rPr>
        <w:t>s</w:t>
      </w:r>
      <w:r w:rsidR="007229CD" w:rsidRPr="00240A8F">
        <w:rPr>
          <w:rFonts w:cs="Times New Roman"/>
          <w:b w:val="0"/>
          <w:szCs w:val="24"/>
        </w:rPr>
        <w:t>creening as categorical covariates, and baseline FEV</w:t>
      </w:r>
      <w:r w:rsidR="007229CD" w:rsidRPr="00240A8F">
        <w:rPr>
          <w:rFonts w:cs="Times New Roman"/>
          <w:b w:val="0"/>
          <w:szCs w:val="24"/>
          <w:vertAlign w:val="subscript"/>
        </w:rPr>
        <w:t>1</w:t>
      </w:r>
      <w:r w:rsidR="007229CD" w:rsidRPr="00240A8F">
        <w:rPr>
          <w:rFonts w:cs="Times New Roman"/>
          <w:b w:val="0"/>
          <w:szCs w:val="24"/>
        </w:rPr>
        <w:t>, blood eosinophil count and percent reversibility to albuterol sulfate as continuous covariates. Contrasts were used to obtain estimates o</w:t>
      </w:r>
      <w:r w:rsidR="00A13949" w:rsidRPr="00240A8F">
        <w:rPr>
          <w:rFonts w:cs="Times New Roman"/>
          <w:b w:val="0"/>
          <w:szCs w:val="24"/>
        </w:rPr>
        <w:t>f the treatment differences at w</w:t>
      </w:r>
      <w:r w:rsidR="007229CD" w:rsidRPr="00240A8F">
        <w:rPr>
          <w:rFonts w:cs="Times New Roman"/>
          <w:b w:val="0"/>
          <w:szCs w:val="24"/>
        </w:rPr>
        <w:t xml:space="preserve">eek 12 and over 24 and </w:t>
      </w:r>
      <w:r w:rsidR="00E860B7" w:rsidRPr="00240A8F">
        <w:rPr>
          <w:rFonts w:cs="Times New Roman"/>
          <w:b w:val="0"/>
          <w:szCs w:val="24"/>
        </w:rPr>
        <w:t>52 weeks, and each post-randomis</w:t>
      </w:r>
      <w:r w:rsidR="007229CD" w:rsidRPr="00240A8F">
        <w:rPr>
          <w:rFonts w:cs="Times New Roman"/>
          <w:b w:val="0"/>
          <w:szCs w:val="24"/>
        </w:rPr>
        <w:t xml:space="preserve">ation visit. Two-sided </w:t>
      </w:r>
      <w:r w:rsidR="00E860B7" w:rsidRPr="00240A8F">
        <w:rPr>
          <w:rFonts w:cs="Times New Roman"/>
          <w:b w:val="0"/>
          <w:szCs w:val="24"/>
        </w:rPr>
        <w:t>p-</w:t>
      </w:r>
      <w:r w:rsidR="00E31455" w:rsidRPr="00240A8F">
        <w:rPr>
          <w:rFonts w:cs="Times New Roman"/>
          <w:b w:val="0"/>
          <w:szCs w:val="24"/>
        </w:rPr>
        <w:t>value</w:t>
      </w:r>
      <w:r w:rsidR="007229CD" w:rsidRPr="00240A8F">
        <w:rPr>
          <w:rFonts w:cs="Times New Roman"/>
          <w:b w:val="0"/>
          <w:szCs w:val="24"/>
        </w:rPr>
        <w:t xml:space="preserve">s and point estimates with </w:t>
      </w:r>
      <w:r w:rsidR="003B54D6" w:rsidRPr="00240A8F">
        <w:rPr>
          <w:rFonts w:cs="Times New Roman"/>
          <w:b w:val="0"/>
          <w:szCs w:val="24"/>
        </w:rPr>
        <w:t>two</w:t>
      </w:r>
      <w:r w:rsidR="007229CD" w:rsidRPr="00240A8F">
        <w:rPr>
          <w:rFonts w:cs="Times New Roman"/>
          <w:b w:val="0"/>
          <w:szCs w:val="24"/>
        </w:rPr>
        <w:t xml:space="preserve">-sided 95% </w:t>
      </w:r>
      <w:r w:rsidR="00234EA9" w:rsidRPr="00240A8F">
        <w:rPr>
          <w:rFonts w:cs="Times New Roman"/>
          <w:b w:val="0"/>
          <w:szCs w:val="24"/>
        </w:rPr>
        <w:t>confidence interval</w:t>
      </w:r>
      <w:r w:rsidR="007229CD" w:rsidRPr="00240A8F">
        <w:rPr>
          <w:rFonts w:cs="Times New Roman"/>
          <w:b w:val="0"/>
          <w:szCs w:val="24"/>
        </w:rPr>
        <w:t>s were produced for each treatment difference.</w:t>
      </w:r>
    </w:p>
    <w:p w14:paraId="458027F7" w14:textId="174E5342" w:rsidR="0090583A" w:rsidRPr="009D5002" w:rsidRDefault="007229CD" w:rsidP="0090583A">
      <w:pPr>
        <w:spacing w:line="480" w:lineRule="auto"/>
        <w:rPr>
          <w:rFonts w:cs="Times New Roman"/>
          <w:b w:val="0"/>
          <w:szCs w:val="24"/>
        </w:rPr>
      </w:pPr>
      <w:r w:rsidRPr="00240A8F">
        <w:rPr>
          <w:rFonts w:cs="Times New Roman"/>
          <w:b w:val="0"/>
          <w:szCs w:val="24"/>
        </w:rPr>
        <w:t>Analyses of rescue medication use</w:t>
      </w:r>
      <w:r w:rsidR="00FE00F1" w:rsidRPr="00240A8F">
        <w:rPr>
          <w:rFonts w:cs="Times New Roman"/>
          <w:b w:val="0"/>
          <w:szCs w:val="24"/>
        </w:rPr>
        <w:t xml:space="preserve"> (US</w:t>
      </w:r>
      <w:r w:rsidR="008A1A4D" w:rsidRPr="00240A8F">
        <w:rPr>
          <w:rFonts w:cs="Times New Roman"/>
          <w:b w:val="0"/>
          <w:szCs w:val="24"/>
        </w:rPr>
        <w:t xml:space="preserve"> and Ex-US</w:t>
      </w:r>
      <w:r w:rsidR="00FE00F1" w:rsidRPr="00240A8F">
        <w:rPr>
          <w:rFonts w:cs="Times New Roman"/>
          <w:b w:val="0"/>
          <w:szCs w:val="24"/>
        </w:rPr>
        <w:t xml:space="preserve"> approach</w:t>
      </w:r>
      <w:r w:rsidR="008A1A4D" w:rsidRPr="00240A8F">
        <w:rPr>
          <w:rFonts w:cs="Times New Roman"/>
          <w:b w:val="0"/>
          <w:szCs w:val="24"/>
        </w:rPr>
        <w:t>es</w:t>
      </w:r>
      <w:r w:rsidR="00FE00F1" w:rsidRPr="00240A8F">
        <w:rPr>
          <w:rFonts w:cs="Times New Roman"/>
          <w:b w:val="0"/>
          <w:szCs w:val="24"/>
        </w:rPr>
        <w:t>)</w:t>
      </w:r>
      <w:r w:rsidRPr="00240A8F">
        <w:rPr>
          <w:rFonts w:cs="Times New Roman"/>
          <w:b w:val="0"/>
          <w:szCs w:val="24"/>
        </w:rPr>
        <w:t xml:space="preserve">, EXACT total score (Ex-US approach), </w:t>
      </w:r>
      <w:r w:rsidRPr="009D5002">
        <w:rPr>
          <w:rFonts w:cs="Times New Roman"/>
          <w:b w:val="0"/>
          <w:szCs w:val="24"/>
        </w:rPr>
        <w:t xml:space="preserve">TDI focal score (Ex-US approach) and other related endpoints used similar </w:t>
      </w:r>
      <w:r w:rsidR="00FC5CCC" w:rsidRPr="009D5002">
        <w:rPr>
          <w:rFonts w:cs="Times New Roman"/>
          <w:b w:val="0"/>
          <w:szCs w:val="24"/>
        </w:rPr>
        <w:t xml:space="preserve">repeated measures </w:t>
      </w:r>
      <w:r w:rsidRPr="009D5002">
        <w:rPr>
          <w:rFonts w:cs="Times New Roman"/>
          <w:b w:val="0"/>
          <w:szCs w:val="24"/>
        </w:rPr>
        <w:t xml:space="preserve">models to the primary endpoint, with their respective baseline measures as covariates. </w:t>
      </w:r>
      <w:r w:rsidR="0090583A" w:rsidRPr="009D5002">
        <w:rPr>
          <w:rFonts w:cs="Times New Roman"/>
          <w:b w:val="0"/>
          <w:szCs w:val="24"/>
        </w:rPr>
        <w:t xml:space="preserve">SGRQ responder analyses (US and Ex-US approaches) were completed using a logistic regression model. </w:t>
      </w:r>
      <w:r w:rsidRPr="009D5002">
        <w:rPr>
          <w:rFonts w:cs="Times New Roman"/>
          <w:b w:val="0"/>
          <w:szCs w:val="24"/>
        </w:rPr>
        <w:t xml:space="preserve">Time to CID (Ex-US approach) and time to first moderate/severe COPD </w:t>
      </w:r>
      <w:r w:rsidRPr="00692414">
        <w:rPr>
          <w:rFonts w:cs="Times New Roman"/>
          <w:b w:val="0"/>
          <w:szCs w:val="24"/>
        </w:rPr>
        <w:t>exacerbation</w:t>
      </w:r>
      <w:r w:rsidR="00FE00F1" w:rsidRPr="00692414">
        <w:rPr>
          <w:rFonts w:cs="Times New Roman"/>
          <w:b w:val="0"/>
          <w:szCs w:val="24"/>
        </w:rPr>
        <w:t xml:space="preserve"> (US and Ex-US approaches)</w:t>
      </w:r>
      <w:r w:rsidRPr="00692414">
        <w:rPr>
          <w:rFonts w:cs="Times New Roman"/>
          <w:b w:val="0"/>
          <w:szCs w:val="24"/>
        </w:rPr>
        <w:t xml:space="preserve"> </w:t>
      </w:r>
      <w:r w:rsidR="00FE00F1" w:rsidRPr="00692414">
        <w:rPr>
          <w:rFonts w:cs="Times New Roman"/>
          <w:b w:val="0"/>
          <w:szCs w:val="24"/>
        </w:rPr>
        <w:t xml:space="preserve">were </w:t>
      </w:r>
      <w:r w:rsidR="00E860B7" w:rsidRPr="00692414">
        <w:rPr>
          <w:rFonts w:cs="Times New Roman"/>
          <w:b w:val="0"/>
          <w:szCs w:val="24"/>
        </w:rPr>
        <w:t>analysed</w:t>
      </w:r>
      <w:r w:rsidRPr="00692414">
        <w:rPr>
          <w:rFonts w:cs="Times New Roman"/>
          <w:b w:val="0"/>
          <w:szCs w:val="24"/>
        </w:rPr>
        <w:t xml:space="preserve"> using Cox regression</w:t>
      </w:r>
      <w:r w:rsidR="0090583A" w:rsidRPr="00692414">
        <w:rPr>
          <w:rFonts w:cs="Times New Roman"/>
          <w:b w:val="0"/>
          <w:szCs w:val="24"/>
        </w:rPr>
        <w:t>,</w:t>
      </w:r>
      <w:r w:rsidRPr="00692414">
        <w:rPr>
          <w:rFonts w:cs="Times New Roman"/>
          <w:b w:val="0"/>
          <w:szCs w:val="24"/>
        </w:rPr>
        <w:t xml:space="preserve"> and the rate of COPD exacerbations</w:t>
      </w:r>
      <w:r w:rsidR="00FE00F1" w:rsidRPr="00692414">
        <w:rPr>
          <w:rFonts w:cs="Times New Roman"/>
          <w:b w:val="0"/>
          <w:szCs w:val="24"/>
        </w:rPr>
        <w:t xml:space="preserve"> (US and Ex-US approaches)</w:t>
      </w:r>
      <w:r w:rsidRPr="00692414">
        <w:rPr>
          <w:rFonts w:cs="Times New Roman"/>
          <w:b w:val="0"/>
          <w:szCs w:val="24"/>
        </w:rPr>
        <w:t xml:space="preserve"> was </w:t>
      </w:r>
      <w:r w:rsidR="00E860B7" w:rsidRPr="00692414">
        <w:rPr>
          <w:rFonts w:cs="Times New Roman"/>
          <w:b w:val="0"/>
          <w:szCs w:val="24"/>
        </w:rPr>
        <w:t>analysed</w:t>
      </w:r>
      <w:r w:rsidRPr="00692414">
        <w:rPr>
          <w:rFonts w:cs="Times New Roman"/>
          <w:b w:val="0"/>
          <w:szCs w:val="24"/>
        </w:rPr>
        <w:t xml:space="preserve"> using negative binomial regression.</w:t>
      </w:r>
      <w:r w:rsidR="0090583A" w:rsidRPr="00692414">
        <w:rPr>
          <w:rFonts w:cs="Times New Roman"/>
          <w:b w:val="0"/>
          <w:szCs w:val="24"/>
        </w:rPr>
        <w:t xml:space="preserve"> </w:t>
      </w:r>
      <w:r w:rsidR="005F4CA3" w:rsidRPr="00692414">
        <w:rPr>
          <w:rFonts w:cs="Times New Roman"/>
          <w:b w:val="0"/>
          <w:szCs w:val="24"/>
        </w:rPr>
        <w:t>The analysis models for CID and e</w:t>
      </w:r>
      <w:r w:rsidR="0090583A" w:rsidRPr="00692414">
        <w:rPr>
          <w:rFonts w:cs="Times New Roman"/>
          <w:b w:val="0"/>
          <w:szCs w:val="24"/>
        </w:rPr>
        <w:t xml:space="preserve">xacerbation </w:t>
      </w:r>
      <w:r w:rsidR="005F4CA3" w:rsidRPr="00692414">
        <w:rPr>
          <w:rFonts w:cs="Times New Roman"/>
          <w:b w:val="0"/>
          <w:szCs w:val="24"/>
        </w:rPr>
        <w:t>endpoints</w:t>
      </w:r>
      <w:r w:rsidR="0090583A" w:rsidRPr="00692414">
        <w:rPr>
          <w:rFonts w:cs="Times New Roman"/>
          <w:b w:val="0"/>
          <w:szCs w:val="24"/>
        </w:rPr>
        <w:t xml:space="preserve"> included post-</w:t>
      </w:r>
      <w:r w:rsidR="0090583A" w:rsidRPr="00692414">
        <w:rPr>
          <w:rFonts w:cs="Times New Roman"/>
          <w:b w:val="0"/>
          <w:szCs w:val="24"/>
        </w:rPr>
        <w:lastRenderedPageBreak/>
        <w:t>bronchodilator FEV</w:t>
      </w:r>
      <w:r w:rsidR="0090583A" w:rsidRPr="00692414">
        <w:rPr>
          <w:rFonts w:cs="Times New Roman"/>
          <w:b w:val="0"/>
          <w:szCs w:val="24"/>
          <w:vertAlign w:val="subscript"/>
        </w:rPr>
        <w:t>1</w:t>
      </w:r>
      <w:r w:rsidR="0090583A" w:rsidRPr="00692414">
        <w:rPr>
          <w:rFonts w:cs="Times New Roman"/>
          <w:b w:val="0"/>
          <w:szCs w:val="24"/>
        </w:rPr>
        <w:t xml:space="preserve"> % predicted, blood eosinophil count, country</w:t>
      </w:r>
      <w:r w:rsidR="005F4CA3" w:rsidRPr="00692414">
        <w:rPr>
          <w:rFonts w:cs="Times New Roman"/>
          <w:b w:val="0"/>
          <w:szCs w:val="24"/>
        </w:rPr>
        <w:t xml:space="preserve"> (exacerbations only)</w:t>
      </w:r>
      <w:r w:rsidR="0090583A" w:rsidRPr="00692414">
        <w:rPr>
          <w:rFonts w:cs="Times New Roman"/>
          <w:b w:val="0"/>
          <w:szCs w:val="24"/>
        </w:rPr>
        <w:t xml:space="preserve">, baseline COPD exacerbation history, </w:t>
      </w:r>
      <w:r w:rsidR="00B74B42" w:rsidRPr="00692414">
        <w:rPr>
          <w:rFonts w:cs="Times New Roman"/>
          <w:b w:val="0"/>
          <w:szCs w:val="24"/>
        </w:rPr>
        <w:t xml:space="preserve">ICS use at screening </w:t>
      </w:r>
      <w:r w:rsidR="0090583A" w:rsidRPr="00692414">
        <w:rPr>
          <w:rFonts w:cs="Times New Roman"/>
          <w:b w:val="0"/>
          <w:szCs w:val="24"/>
        </w:rPr>
        <w:t xml:space="preserve">and treatment as covariates. The post-hoc analysis to estimate the rate of moderate/severe COPD exacerbations for each 4-week period was </w:t>
      </w:r>
      <w:r w:rsidR="00B74B42" w:rsidRPr="00692414">
        <w:rPr>
          <w:rFonts w:cs="Times New Roman"/>
          <w:b w:val="0"/>
          <w:szCs w:val="24"/>
        </w:rPr>
        <w:t>performed using repeated measures generalised estimating equation (GEE) negative binomial regression, adjusting</w:t>
      </w:r>
      <w:r w:rsidR="0090583A" w:rsidRPr="00692414">
        <w:rPr>
          <w:rFonts w:cs="Times New Roman"/>
          <w:b w:val="0"/>
          <w:szCs w:val="24"/>
        </w:rPr>
        <w:t xml:space="preserve"> for </w:t>
      </w:r>
      <w:r w:rsidR="00B74B42" w:rsidRPr="00692414">
        <w:rPr>
          <w:rFonts w:cs="Times New Roman"/>
          <w:b w:val="0"/>
          <w:szCs w:val="24"/>
        </w:rPr>
        <w:t>the same covariates as above with the addition of time interval and treatment by time interval interactions.</w:t>
      </w:r>
      <w:r w:rsidR="00B74B42" w:rsidRPr="009D5002">
        <w:rPr>
          <w:rFonts w:cs="Times New Roman"/>
          <w:b w:val="0"/>
          <w:szCs w:val="24"/>
        </w:rPr>
        <w:t xml:space="preserve"> </w:t>
      </w:r>
    </w:p>
    <w:p w14:paraId="11327B85" w14:textId="77777777" w:rsidR="00F42B78" w:rsidRPr="00240A8F" w:rsidRDefault="00604053" w:rsidP="00F42B78">
      <w:pPr>
        <w:spacing w:line="480" w:lineRule="auto"/>
        <w:rPr>
          <w:rFonts w:cs="Times New Roman"/>
          <w:b w:val="0"/>
          <w:szCs w:val="24"/>
        </w:rPr>
      </w:pPr>
      <w:r w:rsidRPr="009D5002">
        <w:rPr>
          <w:rFonts w:cs="Times New Roman"/>
          <w:b w:val="0"/>
          <w:szCs w:val="24"/>
        </w:rPr>
        <w:t xml:space="preserve">Each eosinophil subgroup was </w:t>
      </w:r>
      <w:r w:rsidR="00E860B7" w:rsidRPr="009D5002">
        <w:rPr>
          <w:rFonts w:cs="Times New Roman"/>
          <w:b w:val="0"/>
          <w:szCs w:val="24"/>
        </w:rPr>
        <w:t>analysed</w:t>
      </w:r>
      <w:r w:rsidR="00584FAA" w:rsidRPr="009D5002">
        <w:rPr>
          <w:rFonts w:cs="Times New Roman"/>
          <w:b w:val="0"/>
          <w:szCs w:val="24"/>
        </w:rPr>
        <w:t xml:space="preserve"> </w:t>
      </w:r>
      <w:r w:rsidRPr="009D5002">
        <w:rPr>
          <w:rFonts w:cs="Times New Roman"/>
          <w:b w:val="0"/>
          <w:szCs w:val="24"/>
        </w:rPr>
        <w:t>separately using the sa</w:t>
      </w:r>
      <w:r w:rsidRPr="00240A8F">
        <w:rPr>
          <w:rFonts w:cs="Times New Roman"/>
          <w:b w:val="0"/>
          <w:szCs w:val="24"/>
        </w:rPr>
        <w:t xml:space="preserve">me model as for the overall population analysis. </w:t>
      </w:r>
      <w:r w:rsidR="001C08E8" w:rsidRPr="00240A8F">
        <w:rPr>
          <w:rFonts w:cs="Times New Roman"/>
          <w:b w:val="0"/>
          <w:szCs w:val="24"/>
        </w:rPr>
        <w:t>To further evaluate the impact of baseline eosinophil counts on the change from baseline in morning pre-dose trough FEV</w:t>
      </w:r>
      <w:r w:rsidR="001C08E8" w:rsidRPr="00240A8F">
        <w:rPr>
          <w:rFonts w:cs="Times New Roman"/>
          <w:b w:val="0"/>
          <w:szCs w:val="24"/>
          <w:vertAlign w:val="subscript"/>
        </w:rPr>
        <w:t>1</w:t>
      </w:r>
      <w:r w:rsidR="00A13949" w:rsidRPr="00240A8F">
        <w:rPr>
          <w:rFonts w:cs="Times New Roman"/>
          <w:b w:val="0"/>
          <w:szCs w:val="24"/>
        </w:rPr>
        <w:t xml:space="preserve"> at w</w:t>
      </w:r>
      <w:r w:rsidR="001C08E8" w:rsidRPr="00240A8F">
        <w:rPr>
          <w:rFonts w:cs="Times New Roman"/>
          <w:b w:val="0"/>
          <w:szCs w:val="24"/>
        </w:rPr>
        <w:t>eek 12 (primary endpoint) and the rate of moderate/severe COPD exacerbations, a</w:t>
      </w:r>
      <w:r w:rsidRPr="00240A8F">
        <w:rPr>
          <w:rFonts w:cs="Times New Roman"/>
          <w:b w:val="0"/>
          <w:szCs w:val="24"/>
        </w:rPr>
        <w:t xml:space="preserve"> series of locally weighted scatter plot smoothing </w:t>
      </w:r>
      <w:r w:rsidR="007F162C" w:rsidRPr="00240A8F">
        <w:rPr>
          <w:rFonts w:cs="Times New Roman"/>
          <w:b w:val="0"/>
          <w:szCs w:val="24"/>
        </w:rPr>
        <w:t xml:space="preserve">(LOESS) </w:t>
      </w:r>
      <w:r w:rsidRPr="00240A8F">
        <w:rPr>
          <w:rFonts w:cs="Times New Roman"/>
          <w:b w:val="0"/>
          <w:szCs w:val="24"/>
        </w:rPr>
        <w:t xml:space="preserve">curves </w:t>
      </w:r>
      <w:r w:rsidR="001C08E8" w:rsidRPr="00240A8F">
        <w:rPr>
          <w:rFonts w:cs="Times New Roman"/>
          <w:b w:val="0"/>
          <w:szCs w:val="24"/>
        </w:rPr>
        <w:t>w</w:t>
      </w:r>
      <w:r w:rsidR="00D2344E" w:rsidRPr="00240A8F">
        <w:rPr>
          <w:rFonts w:cs="Times New Roman"/>
          <w:b w:val="0"/>
          <w:szCs w:val="24"/>
        </w:rPr>
        <w:t>ere</w:t>
      </w:r>
      <w:r w:rsidRPr="00240A8F">
        <w:rPr>
          <w:rFonts w:cs="Times New Roman"/>
          <w:b w:val="0"/>
          <w:szCs w:val="24"/>
        </w:rPr>
        <w:t xml:space="preserve"> produced.</w:t>
      </w:r>
      <w:r w:rsidR="001C08E8" w:rsidRPr="00240A8F">
        <w:rPr>
          <w:rFonts w:cs="Times New Roman"/>
          <w:b w:val="0"/>
          <w:szCs w:val="24"/>
        </w:rPr>
        <w:t xml:space="preserve"> For the FEV</w:t>
      </w:r>
      <w:r w:rsidR="001C08E8" w:rsidRPr="00240A8F">
        <w:rPr>
          <w:rFonts w:cs="Times New Roman"/>
          <w:b w:val="0"/>
          <w:szCs w:val="24"/>
          <w:vertAlign w:val="subscript"/>
        </w:rPr>
        <w:t>1</w:t>
      </w:r>
      <w:r w:rsidR="001C08E8" w:rsidRPr="00240A8F">
        <w:rPr>
          <w:rFonts w:cs="Times New Roman"/>
          <w:b w:val="0"/>
          <w:szCs w:val="24"/>
        </w:rPr>
        <w:t xml:space="preserve"> endpoint, the model us</w:t>
      </w:r>
      <w:r w:rsidR="00A13949" w:rsidRPr="00240A8F">
        <w:rPr>
          <w:rFonts w:cs="Times New Roman"/>
          <w:b w:val="0"/>
          <w:szCs w:val="24"/>
        </w:rPr>
        <w:t>ed the change from baseline at w</w:t>
      </w:r>
      <w:r w:rsidR="001C08E8" w:rsidRPr="00240A8F">
        <w:rPr>
          <w:rFonts w:cs="Times New Roman"/>
          <w:b w:val="0"/>
          <w:szCs w:val="24"/>
        </w:rPr>
        <w:t xml:space="preserve">eek 12 and baseline eosinophil count from each patient to plot the change from baseline by treatment group across the range of observed eosinophil values in the study. For COPD exacerbations, pooled estimates of rates for ten-patient blocks based on </w:t>
      </w:r>
      <w:r w:rsidR="007F162C" w:rsidRPr="00240A8F">
        <w:rPr>
          <w:rFonts w:cs="Times New Roman"/>
          <w:b w:val="0"/>
          <w:szCs w:val="24"/>
        </w:rPr>
        <w:t xml:space="preserve">sorted </w:t>
      </w:r>
      <w:r w:rsidR="00A13949" w:rsidRPr="00240A8F">
        <w:rPr>
          <w:rFonts w:cs="Times New Roman"/>
          <w:b w:val="0"/>
          <w:szCs w:val="24"/>
        </w:rPr>
        <w:t>baseline eosinophil</w:t>
      </w:r>
      <w:r w:rsidR="001C08E8" w:rsidRPr="00240A8F">
        <w:rPr>
          <w:rFonts w:cs="Times New Roman"/>
          <w:b w:val="0"/>
          <w:szCs w:val="24"/>
        </w:rPr>
        <w:t xml:space="preserve"> values were plotted against eosinophil values to avoid the influence of outliers.</w:t>
      </w:r>
    </w:p>
    <w:p w14:paraId="5BCCE5D8" w14:textId="38460B37" w:rsidR="00F42B78" w:rsidRPr="00240A8F" w:rsidRDefault="007229CD" w:rsidP="00F42B78">
      <w:pPr>
        <w:spacing w:line="480" w:lineRule="auto"/>
        <w:rPr>
          <w:rFonts w:cs="Times New Roman"/>
          <w:b w:val="0"/>
          <w:szCs w:val="24"/>
        </w:rPr>
      </w:pPr>
      <w:r w:rsidRPr="00240A8F">
        <w:rPr>
          <w:rFonts w:cs="Times New Roman"/>
          <w:b w:val="0"/>
          <w:szCs w:val="24"/>
        </w:rPr>
        <w:t xml:space="preserve">For </w:t>
      </w:r>
      <w:r w:rsidR="00FE00F1" w:rsidRPr="00240A8F">
        <w:rPr>
          <w:rFonts w:cs="Times New Roman"/>
          <w:b w:val="0"/>
          <w:szCs w:val="24"/>
        </w:rPr>
        <w:t>the US approach,</w:t>
      </w:r>
      <w:r w:rsidRPr="00240A8F">
        <w:rPr>
          <w:rFonts w:cs="Times New Roman"/>
          <w:b w:val="0"/>
          <w:szCs w:val="24"/>
        </w:rPr>
        <w:t xml:space="preserve"> the proposed sample size of 1860 patients (620 per treatment </w:t>
      </w:r>
      <w:r w:rsidR="00FE00F1" w:rsidRPr="00240A8F">
        <w:rPr>
          <w:rFonts w:cs="Times New Roman"/>
          <w:b w:val="0"/>
          <w:szCs w:val="24"/>
        </w:rPr>
        <w:t>group</w:t>
      </w:r>
      <w:r w:rsidRPr="00240A8F">
        <w:rPr>
          <w:rFonts w:cs="Times New Roman"/>
          <w:b w:val="0"/>
          <w:szCs w:val="24"/>
        </w:rPr>
        <w:t xml:space="preserve">) with 15% dropout provided approximately 90% power to detect a difference </w:t>
      </w:r>
      <w:r w:rsidR="00EC6E2D" w:rsidRPr="00240A8F">
        <w:rPr>
          <w:rFonts w:cs="Times New Roman"/>
          <w:b w:val="0"/>
          <w:szCs w:val="24"/>
        </w:rPr>
        <w:t xml:space="preserve">in </w:t>
      </w:r>
      <w:r w:rsidR="00FE00F1" w:rsidRPr="00240A8F">
        <w:rPr>
          <w:rFonts w:cs="Times New Roman"/>
          <w:b w:val="0"/>
          <w:szCs w:val="24"/>
        </w:rPr>
        <w:t xml:space="preserve">the primary endpoint </w:t>
      </w:r>
      <w:r w:rsidRPr="00240A8F">
        <w:rPr>
          <w:rFonts w:cs="Times New Roman"/>
          <w:b w:val="0"/>
          <w:szCs w:val="24"/>
        </w:rPr>
        <w:t xml:space="preserve">of 40 mL between </w:t>
      </w:r>
      <w:r w:rsidR="004F20F7" w:rsidRPr="00240A8F">
        <w:rPr>
          <w:rFonts w:eastAsiaTheme="minorHAnsi" w:cs="Times New Roman"/>
          <w:b w:val="0"/>
          <w:szCs w:val="24"/>
        </w:rPr>
        <w:t xml:space="preserve">budesonide/formoterol fumarate </w:t>
      </w:r>
      <w:r w:rsidR="00911B73" w:rsidRPr="00240A8F">
        <w:rPr>
          <w:rFonts w:cs="Times New Roman"/>
          <w:b w:val="0"/>
          <w:szCs w:val="24"/>
        </w:rPr>
        <w:t>dihydrate</w:t>
      </w:r>
      <w:r w:rsidR="00911B73" w:rsidRPr="00240A8F">
        <w:rPr>
          <w:rFonts w:eastAsiaTheme="minorHAnsi" w:cs="Times New Roman"/>
          <w:b w:val="0"/>
          <w:szCs w:val="24"/>
        </w:rPr>
        <w:t xml:space="preserve"> </w:t>
      </w:r>
      <w:r w:rsidR="004F20F7" w:rsidRPr="00240A8F">
        <w:rPr>
          <w:rFonts w:eastAsiaTheme="minorHAnsi" w:cs="Times New Roman"/>
          <w:b w:val="0"/>
          <w:szCs w:val="24"/>
        </w:rPr>
        <w:t>metered dose inhaler (BFF MDI)</w:t>
      </w:r>
      <w:r w:rsidRPr="00240A8F">
        <w:rPr>
          <w:rFonts w:cs="Times New Roman"/>
          <w:b w:val="0"/>
          <w:szCs w:val="24"/>
        </w:rPr>
        <w:t xml:space="preserve"> and </w:t>
      </w:r>
      <w:r w:rsidR="004F20F7" w:rsidRPr="00240A8F">
        <w:rPr>
          <w:rFonts w:eastAsiaTheme="minorHAnsi" w:cs="Times New Roman"/>
          <w:b w:val="0"/>
          <w:szCs w:val="24"/>
        </w:rPr>
        <w:t xml:space="preserve">formoterol fumarate </w:t>
      </w:r>
      <w:r w:rsidR="00911B73" w:rsidRPr="00240A8F">
        <w:rPr>
          <w:rFonts w:cs="Times New Roman"/>
          <w:b w:val="0"/>
          <w:szCs w:val="24"/>
        </w:rPr>
        <w:t>dihydrate</w:t>
      </w:r>
      <w:r w:rsidR="00911B73" w:rsidRPr="00240A8F">
        <w:rPr>
          <w:rFonts w:eastAsiaTheme="minorHAnsi" w:cs="Times New Roman"/>
          <w:b w:val="0"/>
          <w:szCs w:val="24"/>
        </w:rPr>
        <w:t xml:space="preserve"> </w:t>
      </w:r>
      <w:r w:rsidR="004F20F7" w:rsidRPr="00240A8F">
        <w:rPr>
          <w:rFonts w:eastAsiaTheme="minorHAnsi" w:cs="Times New Roman"/>
          <w:b w:val="0"/>
          <w:szCs w:val="24"/>
        </w:rPr>
        <w:t>metered dose inhaler</w:t>
      </w:r>
      <w:r w:rsidR="004F20F7" w:rsidRPr="00240A8F">
        <w:rPr>
          <w:rFonts w:cs="Times New Roman"/>
          <w:b w:val="0"/>
          <w:szCs w:val="24"/>
        </w:rPr>
        <w:t xml:space="preserve"> (</w:t>
      </w:r>
      <w:r w:rsidRPr="00240A8F">
        <w:rPr>
          <w:rFonts w:cs="Times New Roman"/>
          <w:b w:val="0"/>
          <w:szCs w:val="24"/>
        </w:rPr>
        <w:t>FF MDI</w:t>
      </w:r>
      <w:r w:rsidR="004F20F7" w:rsidRPr="00240A8F">
        <w:rPr>
          <w:rFonts w:cs="Times New Roman"/>
          <w:b w:val="0"/>
          <w:szCs w:val="24"/>
        </w:rPr>
        <w:t>)</w:t>
      </w:r>
      <w:r w:rsidR="00A13949" w:rsidRPr="00240A8F">
        <w:rPr>
          <w:rFonts w:cs="Times New Roman"/>
          <w:b w:val="0"/>
          <w:szCs w:val="24"/>
        </w:rPr>
        <w:t xml:space="preserve"> at w</w:t>
      </w:r>
      <w:r w:rsidRPr="00240A8F">
        <w:rPr>
          <w:rFonts w:cs="Times New Roman"/>
          <w:b w:val="0"/>
          <w:szCs w:val="24"/>
        </w:rPr>
        <w:t xml:space="preserve">eek 12. For </w:t>
      </w:r>
      <w:r w:rsidR="00FE00F1" w:rsidRPr="00240A8F">
        <w:rPr>
          <w:rFonts w:cs="Times New Roman"/>
          <w:b w:val="0"/>
        </w:rPr>
        <w:t>the Ex-US approach</w:t>
      </w:r>
      <w:r w:rsidR="00FE00F1" w:rsidRPr="00240A8F">
        <w:rPr>
          <w:rFonts w:cs="Times New Roman"/>
          <w:b w:val="0"/>
          <w:szCs w:val="24"/>
        </w:rPr>
        <w:t>,</w:t>
      </w:r>
      <w:r w:rsidRPr="00240A8F">
        <w:rPr>
          <w:rFonts w:cs="Times New Roman"/>
          <w:b w:val="0"/>
          <w:szCs w:val="24"/>
        </w:rPr>
        <w:t xml:space="preserve"> the </w:t>
      </w:r>
      <w:r w:rsidR="0044614F" w:rsidRPr="00240A8F">
        <w:rPr>
          <w:rFonts w:cs="Times New Roman"/>
          <w:b w:val="0"/>
          <w:szCs w:val="24"/>
        </w:rPr>
        <w:t xml:space="preserve">same </w:t>
      </w:r>
      <w:r w:rsidRPr="00240A8F">
        <w:rPr>
          <w:rFonts w:cs="Times New Roman"/>
          <w:b w:val="0"/>
          <w:szCs w:val="24"/>
        </w:rPr>
        <w:t>sample size of 1860 patients</w:t>
      </w:r>
      <w:r w:rsidR="00757900" w:rsidRPr="00240A8F">
        <w:rPr>
          <w:rFonts w:cs="Times New Roman"/>
          <w:b w:val="0"/>
          <w:szCs w:val="24"/>
        </w:rPr>
        <w:t>,</w:t>
      </w:r>
      <w:r w:rsidRPr="00240A8F">
        <w:rPr>
          <w:rFonts w:cs="Times New Roman"/>
          <w:b w:val="0"/>
          <w:szCs w:val="24"/>
        </w:rPr>
        <w:t xml:space="preserve"> with 30% dropout</w:t>
      </w:r>
      <w:r w:rsidR="00757900" w:rsidRPr="00240A8F">
        <w:rPr>
          <w:rFonts w:cs="Times New Roman"/>
          <w:b w:val="0"/>
          <w:szCs w:val="24"/>
        </w:rPr>
        <w:t>,</w:t>
      </w:r>
      <w:r w:rsidRPr="00240A8F">
        <w:rPr>
          <w:rFonts w:cs="Times New Roman"/>
          <w:b w:val="0"/>
          <w:szCs w:val="24"/>
        </w:rPr>
        <w:t xml:space="preserve"> provided approximately </w:t>
      </w:r>
      <w:r w:rsidR="0044614F" w:rsidRPr="00240A8F">
        <w:rPr>
          <w:rFonts w:cs="Times New Roman"/>
          <w:b w:val="0"/>
          <w:szCs w:val="24"/>
        </w:rPr>
        <w:t>96</w:t>
      </w:r>
      <w:r w:rsidRPr="00240A8F">
        <w:rPr>
          <w:rFonts w:cs="Times New Roman"/>
          <w:b w:val="0"/>
          <w:szCs w:val="24"/>
        </w:rPr>
        <w:t xml:space="preserve">% power to detect a difference </w:t>
      </w:r>
      <w:r w:rsidR="00EC6E2D" w:rsidRPr="00240A8F">
        <w:rPr>
          <w:rFonts w:cs="Times New Roman"/>
          <w:b w:val="0"/>
          <w:szCs w:val="24"/>
        </w:rPr>
        <w:t xml:space="preserve">in </w:t>
      </w:r>
      <w:r w:rsidR="00885428" w:rsidRPr="00240A8F">
        <w:rPr>
          <w:rFonts w:cs="Times New Roman"/>
          <w:b w:val="0"/>
          <w:szCs w:val="24"/>
        </w:rPr>
        <w:t>the primary endpoint</w:t>
      </w:r>
      <w:r w:rsidR="00EC6E2D" w:rsidRPr="00240A8F">
        <w:rPr>
          <w:rFonts w:cs="Times New Roman"/>
          <w:b w:val="0"/>
          <w:szCs w:val="24"/>
        </w:rPr>
        <w:t xml:space="preserve"> </w:t>
      </w:r>
      <w:r w:rsidRPr="00240A8F">
        <w:rPr>
          <w:rFonts w:cs="Times New Roman"/>
          <w:b w:val="0"/>
          <w:szCs w:val="24"/>
        </w:rPr>
        <w:t xml:space="preserve">of 40 mL between BFF MDI and FF MDI over </w:t>
      </w:r>
      <w:r w:rsidR="008F44DC" w:rsidRPr="00240A8F">
        <w:rPr>
          <w:rFonts w:cs="Times New Roman"/>
          <w:b w:val="0"/>
          <w:szCs w:val="24"/>
        </w:rPr>
        <w:t>24 weeks</w:t>
      </w:r>
      <w:r w:rsidRPr="00240A8F">
        <w:rPr>
          <w:rFonts w:cs="Times New Roman"/>
          <w:b w:val="0"/>
          <w:szCs w:val="24"/>
        </w:rPr>
        <w:t>.</w:t>
      </w:r>
    </w:p>
    <w:p w14:paraId="5E9A6DCD" w14:textId="77777777" w:rsidR="005514E5" w:rsidRPr="00240A8F" w:rsidRDefault="005514E5" w:rsidP="00F42B78">
      <w:pPr>
        <w:spacing w:line="480" w:lineRule="auto"/>
        <w:rPr>
          <w:rFonts w:cs="Times New Roman"/>
          <w:b w:val="0"/>
          <w:szCs w:val="24"/>
        </w:rPr>
      </w:pPr>
      <w:r w:rsidRPr="00240A8F">
        <w:rPr>
          <w:rFonts w:cs="Times New Roman"/>
          <w:b w:val="0"/>
          <w:szCs w:val="24"/>
        </w:rPr>
        <w:lastRenderedPageBreak/>
        <w:t>Data processing, statistical screening, descriptive reporting and analysis of the efficacy and safety data was performed using SAS</w:t>
      </w:r>
      <w:r w:rsidRPr="00240A8F">
        <w:rPr>
          <w:rFonts w:cs="Times New Roman"/>
          <w:b w:val="0"/>
          <w:szCs w:val="24"/>
          <w:vertAlign w:val="superscript"/>
        </w:rPr>
        <w:t>®</w:t>
      </w:r>
      <w:r w:rsidRPr="00240A8F">
        <w:rPr>
          <w:rFonts w:cs="Times New Roman"/>
          <w:b w:val="0"/>
          <w:szCs w:val="24"/>
        </w:rPr>
        <w:t xml:space="preserve"> (Version 9.2 or higher) (Cary, NC, USA).</w:t>
      </w:r>
    </w:p>
    <w:p w14:paraId="6573459C" w14:textId="77777777" w:rsidR="007229CD" w:rsidRPr="00240A8F" w:rsidRDefault="00F42B78" w:rsidP="00AC79F4">
      <w:pPr>
        <w:pStyle w:val="Heading1"/>
      </w:pPr>
      <w:r w:rsidRPr="00240A8F">
        <w:t>Supplementary r</w:t>
      </w:r>
      <w:r w:rsidR="007229CD" w:rsidRPr="00240A8F">
        <w:t>esults</w:t>
      </w:r>
    </w:p>
    <w:p w14:paraId="12426058" w14:textId="77777777" w:rsidR="007229CD" w:rsidRPr="00240A8F" w:rsidRDefault="007229CD" w:rsidP="00D0176B">
      <w:pPr>
        <w:pStyle w:val="Heading2"/>
        <w:rPr>
          <w:i/>
        </w:rPr>
      </w:pPr>
      <w:r w:rsidRPr="00240A8F">
        <w:rPr>
          <w:i/>
        </w:rPr>
        <w:t xml:space="preserve">Efficacy </w:t>
      </w:r>
      <w:r w:rsidR="00F42B78" w:rsidRPr="00240A8F">
        <w:rPr>
          <w:i/>
        </w:rPr>
        <w:t>for the Ex-US a</w:t>
      </w:r>
      <w:r w:rsidR="00841C40" w:rsidRPr="00240A8F">
        <w:rPr>
          <w:i/>
        </w:rPr>
        <w:t>pproach</w:t>
      </w:r>
    </w:p>
    <w:p w14:paraId="1776CE50" w14:textId="77777777" w:rsidR="00F42B78" w:rsidRPr="00240A8F" w:rsidRDefault="007229CD" w:rsidP="00F42B78">
      <w:pPr>
        <w:spacing w:line="480" w:lineRule="auto"/>
        <w:rPr>
          <w:rFonts w:cs="Times New Roman"/>
          <w:b w:val="0"/>
          <w:szCs w:val="24"/>
        </w:rPr>
      </w:pPr>
      <w:r w:rsidRPr="00240A8F">
        <w:rPr>
          <w:rFonts w:cs="Times New Roman"/>
          <w:b w:val="0"/>
          <w:szCs w:val="24"/>
        </w:rPr>
        <w:t>For the primary endpoint of change from baseline in morning pre-dose trough FEV</w:t>
      </w:r>
      <w:r w:rsidRPr="00240A8F">
        <w:rPr>
          <w:rFonts w:cs="Times New Roman"/>
          <w:b w:val="0"/>
          <w:szCs w:val="24"/>
          <w:vertAlign w:val="subscript"/>
        </w:rPr>
        <w:t>1</w:t>
      </w:r>
      <w:r w:rsidRPr="00240A8F">
        <w:rPr>
          <w:rFonts w:cs="Times New Roman"/>
          <w:b w:val="0"/>
          <w:szCs w:val="24"/>
        </w:rPr>
        <w:t xml:space="preserve"> over 24</w:t>
      </w:r>
      <w:r w:rsidR="00BC5BA0" w:rsidRPr="00240A8F">
        <w:rPr>
          <w:rFonts w:cs="Times New Roman"/>
          <w:b w:val="0"/>
          <w:szCs w:val="24"/>
        </w:rPr>
        <w:t> </w:t>
      </w:r>
      <w:r w:rsidR="00E860B7" w:rsidRPr="00240A8F">
        <w:rPr>
          <w:rFonts w:cs="Times New Roman"/>
          <w:b w:val="0"/>
          <w:szCs w:val="24"/>
        </w:rPr>
        <w:t>weeks, analys</w:t>
      </w:r>
      <w:r w:rsidRPr="00240A8F">
        <w:rPr>
          <w:rFonts w:cs="Times New Roman"/>
          <w:b w:val="0"/>
          <w:szCs w:val="24"/>
        </w:rPr>
        <w:t xml:space="preserve">ed using the efficacy </w:t>
      </w:r>
      <w:proofErr w:type="spellStart"/>
      <w:r w:rsidRPr="00240A8F">
        <w:rPr>
          <w:rFonts w:cs="Times New Roman"/>
          <w:b w:val="0"/>
          <w:szCs w:val="24"/>
        </w:rPr>
        <w:t>estimand</w:t>
      </w:r>
      <w:proofErr w:type="spellEnd"/>
      <w:r w:rsidRPr="00240A8F">
        <w:rPr>
          <w:rFonts w:cs="Times New Roman"/>
          <w:b w:val="0"/>
          <w:szCs w:val="24"/>
        </w:rPr>
        <w:t>, BFF MDI 320/</w:t>
      </w:r>
      <w:r w:rsidR="00A12768" w:rsidRPr="00240A8F">
        <w:rPr>
          <w:rFonts w:cs="Times New Roman"/>
          <w:b w:val="0"/>
          <w:szCs w:val="24"/>
        </w:rPr>
        <w:t>10 µg</w:t>
      </w:r>
      <w:r w:rsidRPr="00240A8F">
        <w:rPr>
          <w:rFonts w:cs="Times New Roman"/>
          <w:b w:val="0"/>
          <w:szCs w:val="24"/>
        </w:rPr>
        <w:t xml:space="preserve"> and 160/</w:t>
      </w:r>
      <w:r w:rsidR="00A12768" w:rsidRPr="00240A8F">
        <w:rPr>
          <w:rFonts w:cs="Times New Roman"/>
          <w:b w:val="0"/>
          <w:szCs w:val="24"/>
        </w:rPr>
        <w:t>10 µg</w:t>
      </w:r>
      <w:r w:rsidRPr="00240A8F">
        <w:rPr>
          <w:rFonts w:cs="Times New Roman"/>
          <w:b w:val="0"/>
          <w:szCs w:val="24"/>
        </w:rPr>
        <w:t xml:space="preserve"> demonstrated statistically significant improvements </w:t>
      </w:r>
      <w:r w:rsidRPr="00240A8F">
        <w:rPr>
          <w:rFonts w:cs="Times New Roman"/>
          <w:b w:val="0"/>
          <w:i/>
          <w:szCs w:val="24"/>
        </w:rPr>
        <w:t xml:space="preserve">versus </w:t>
      </w:r>
      <w:r w:rsidRPr="00240A8F">
        <w:rPr>
          <w:rFonts w:cs="Times New Roman"/>
          <w:b w:val="0"/>
          <w:szCs w:val="24"/>
        </w:rPr>
        <w:t xml:space="preserve">FF MDI </w:t>
      </w:r>
      <w:r w:rsidR="0061057D" w:rsidRPr="00240A8F">
        <w:rPr>
          <w:rFonts w:cs="Times New Roman"/>
          <w:b w:val="0"/>
          <w:szCs w:val="24"/>
        </w:rPr>
        <w:t xml:space="preserve">(least squares mean </w:t>
      </w:r>
      <w:r w:rsidRPr="00240A8F">
        <w:rPr>
          <w:rFonts w:cs="Times New Roman"/>
          <w:b w:val="0"/>
          <w:szCs w:val="24"/>
        </w:rPr>
        <w:t>differences 39 mL</w:t>
      </w:r>
      <w:r w:rsidR="002557CB" w:rsidRPr="00240A8F">
        <w:rPr>
          <w:rFonts w:cs="Times New Roman"/>
          <w:b w:val="0"/>
          <w:szCs w:val="24"/>
        </w:rPr>
        <w:t xml:space="preserve"> </w:t>
      </w:r>
      <w:r w:rsidR="00F9176D" w:rsidRPr="00240A8F">
        <w:rPr>
          <w:rFonts w:cs="Times New Roman"/>
          <w:b w:val="0"/>
          <w:szCs w:val="24"/>
        </w:rPr>
        <w:t>[</w:t>
      </w:r>
      <w:r w:rsidR="00E860B7" w:rsidRPr="00240A8F">
        <w:rPr>
          <w:rFonts w:cs="Times New Roman"/>
          <w:b w:val="0"/>
          <w:szCs w:val="24"/>
        </w:rPr>
        <w:t>p=</w:t>
      </w:r>
      <w:r w:rsidRPr="00240A8F">
        <w:rPr>
          <w:rFonts w:cs="Times New Roman"/>
          <w:b w:val="0"/>
          <w:szCs w:val="24"/>
        </w:rPr>
        <w:t>0.0003</w:t>
      </w:r>
      <w:r w:rsidR="00F9176D" w:rsidRPr="00240A8F">
        <w:rPr>
          <w:rFonts w:cs="Times New Roman"/>
          <w:b w:val="0"/>
          <w:szCs w:val="24"/>
        </w:rPr>
        <w:t>]</w:t>
      </w:r>
      <w:r w:rsidRPr="00240A8F">
        <w:rPr>
          <w:rFonts w:cs="Times New Roman"/>
          <w:b w:val="0"/>
          <w:szCs w:val="24"/>
        </w:rPr>
        <w:t xml:space="preserve"> and 34 mL</w:t>
      </w:r>
      <w:r w:rsidR="00F9176D" w:rsidRPr="00240A8F">
        <w:rPr>
          <w:rFonts w:cs="Times New Roman"/>
          <w:b w:val="0"/>
          <w:szCs w:val="24"/>
        </w:rPr>
        <w:t xml:space="preserve"> [</w:t>
      </w:r>
      <w:r w:rsidR="00E860B7" w:rsidRPr="00240A8F">
        <w:rPr>
          <w:rFonts w:cs="Times New Roman"/>
          <w:b w:val="0"/>
          <w:szCs w:val="24"/>
        </w:rPr>
        <w:t>p=</w:t>
      </w:r>
      <w:r w:rsidRPr="00240A8F">
        <w:rPr>
          <w:rFonts w:cs="Times New Roman"/>
          <w:b w:val="0"/>
          <w:szCs w:val="24"/>
        </w:rPr>
        <w:t>0.0012</w:t>
      </w:r>
      <w:r w:rsidR="00F9176D" w:rsidRPr="00240A8F">
        <w:rPr>
          <w:rFonts w:cs="Times New Roman"/>
          <w:b w:val="0"/>
          <w:szCs w:val="24"/>
        </w:rPr>
        <w:t>]</w:t>
      </w:r>
      <w:r w:rsidRPr="00240A8F">
        <w:rPr>
          <w:rFonts w:cs="Times New Roman"/>
          <w:b w:val="0"/>
          <w:szCs w:val="24"/>
        </w:rPr>
        <w:t>, respectively (</w:t>
      </w:r>
      <w:r w:rsidR="00603B11" w:rsidRPr="00240A8F">
        <w:rPr>
          <w:rFonts w:cs="Times New Roman"/>
          <w:b w:val="0"/>
          <w:szCs w:val="24"/>
        </w:rPr>
        <w:t xml:space="preserve">table </w:t>
      </w:r>
      <w:r w:rsidR="00F9176D" w:rsidRPr="00240A8F">
        <w:rPr>
          <w:rFonts w:cs="Times New Roman"/>
          <w:b w:val="0"/>
          <w:szCs w:val="24"/>
        </w:rPr>
        <w:t>E</w:t>
      </w:r>
      <w:r w:rsidR="007924B4" w:rsidRPr="00240A8F">
        <w:rPr>
          <w:rFonts w:cs="Times New Roman"/>
          <w:b w:val="0"/>
          <w:szCs w:val="24"/>
        </w:rPr>
        <w:t>2</w:t>
      </w:r>
      <w:r w:rsidRPr="00240A8F">
        <w:rPr>
          <w:rFonts w:cs="Times New Roman"/>
          <w:b w:val="0"/>
          <w:szCs w:val="24"/>
        </w:rPr>
        <w:t>).</w:t>
      </w:r>
      <w:r w:rsidR="00841C40" w:rsidRPr="00240A8F">
        <w:rPr>
          <w:rFonts w:cs="Times New Roman"/>
          <w:b w:val="0"/>
          <w:szCs w:val="24"/>
        </w:rPr>
        <w:t xml:space="preserve"> </w:t>
      </w:r>
      <w:r w:rsidRPr="00240A8F">
        <w:rPr>
          <w:rFonts w:cs="Times New Roman"/>
          <w:b w:val="0"/>
          <w:szCs w:val="24"/>
        </w:rPr>
        <w:t xml:space="preserve">Analysis using the attributable </w:t>
      </w:r>
      <w:proofErr w:type="spellStart"/>
      <w:r w:rsidRPr="00240A8F">
        <w:rPr>
          <w:rFonts w:cs="Times New Roman"/>
          <w:b w:val="0"/>
          <w:szCs w:val="24"/>
        </w:rPr>
        <w:t>estimand</w:t>
      </w:r>
      <w:proofErr w:type="spellEnd"/>
      <w:r w:rsidRPr="00240A8F">
        <w:rPr>
          <w:rFonts w:cs="Times New Roman"/>
          <w:b w:val="0"/>
          <w:szCs w:val="24"/>
        </w:rPr>
        <w:t xml:space="preserve"> (secondary endpoint) </w:t>
      </w:r>
      <w:r w:rsidR="00F9176D" w:rsidRPr="00240A8F">
        <w:rPr>
          <w:rFonts w:cs="Times New Roman"/>
          <w:b w:val="0"/>
          <w:szCs w:val="24"/>
        </w:rPr>
        <w:t xml:space="preserve">provided </w:t>
      </w:r>
      <w:r w:rsidRPr="00240A8F">
        <w:rPr>
          <w:rFonts w:cs="Times New Roman"/>
          <w:b w:val="0"/>
          <w:szCs w:val="24"/>
        </w:rPr>
        <w:t>similar results (</w:t>
      </w:r>
      <w:r w:rsidR="00603B11" w:rsidRPr="00240A8F">
        <w:rPr>
          <w:rFonts w:cs="Times New Roman"/>
          <w:b w:val="0"/>
          <w:szCs w:val="24"/>
        </w:rPr>
        <w:t xml:space="preserve">table </w:t>
      </w:r>
      <w:r w:rsidR="00F9176D" w:rsidRPr="00240A8F">
        <w:rPr>
          <w:rFonts w:cs="Times New Roman"/>
          <w:b w:val="0"/>
          <w:szCs w:val="24"/>
        </w:rPr>
        <w:t>E</w:t>
      </w:r>
      <w:r w:rsidR="007924B4" w:rsidRPr="00240A8F">
        <w:rPr>
          <w:rFonts w:cs="Times New Roman"/>
          <w:b w:val="0"/>
          <w:szCs w:val="24"/>
        </w:rPr>
        <w:t>2</w:t>
      </w:r>
      <w:r w:rsidRPr="00240A8F">
        <w:rPr>
          <w:rFonts w:cs="Times New Roman"/>
          <w:b w:val="0"/>
          <w:szCs w:val="24"/>
        </w:rPr>
        <w:t>).</w:t>
      </w:r>
    </w:p>
    <w:p w14:paraId="43D58B55" w14:textId="77777777" w:rsidR="00F42B78" w:rsidRPr="00240A8F" w:rsidRDefault="00F55773" w:rsidP="00F42B78">
      <w:pPr>
        <w:spacing w:line="480" w:lineRule="auto"/>
        <w:rPr>
          <w:rFonts w:cs="Times New Roman"/>
          <w:b w:val="0"/>
          <w:szCs w:val="24"/>
        </w:rPr>
      </w:pPr>
      <w:r w:rsidRPr="00240A8F">
        <w:rPr>
          <w:rFonts w:eastAsia="TimesNewRoman" w:cs="Times New Roman"/>
          <w:b w:val="0"/>
          <w:szCs w:val="24"/>
        </w:rPr>
        <w:t>T</w:t>
      </w:r>
      <w:r w:rsidR="00EE2DC4" w:rsidRPr="00240A8F">
        <w:rPr>
          <w:rFonts w:eastAsia="TimesNewRoman" w:cs="Times New Roman"/>
          <w:b w:val="0"/>
          <w:szCs w:val="24"/>
        </w:rPr>
        <w:t>he t</w:t>
      </w:r>
      <w:r w:rsidR="007229CD" w:rsidRPr="00240A8F">
        <w:rPr>
          <w:rFonts w:eastAsia="TimesNewRoman" w:cs="Times New Roman"/>
          <w:b w:val="0"/>
          <w:szCs w:val="24"/>
        </w:rPr>
        <w:t>ime to first moderate/severe COPD</w:t>
      </w:r>
      <w:r w:rsidR="00EE2DC4" w:rsidRPr="00240A8F">
        <w:rPr>
          <w:rFonts w:eastAsia="TimesNewRoman" w:cs="Times New Roman"/>
          <w:b w:val="0"/>
          <w:szCs w:val="24"/>
        </w:rPr>
        <w:t xml:space="preserve"> exacerbation </w:t>
      </w:r>
      <w:r w:rsidR="00D46E3C" w:rsidRPr="00240A8F">
        <w:rPr>
          <w:rFonts w:eastAsia="TimesNewRoman" w:cs="Times New Roman"/>
          <w:b w:val="0"/>
          <w:szCs w:val="24"/>
        </w:rPr>
        <w:t>endpoint was</w:t>
      </w:r>
      <w:r w:rsidR="007229CD" w:rsidRPr="00240A8F">
        <w:rPr>
          <w:rFonts w:eastAsia="TimesNewRoman" w:cs="Times New Roman"/>
          <w:b w:val="0"/>
          <w:szCs w:val="24"/>
        </w:rPr>
        <w:t xml:space="preserve"> the same </w:t>
      </w:r>
      <w:r w:rsidRPr="00240A8F">
        <w:rPr>
          <w:rFonts w:eastAsia="TimesNewRoman" w:cs="Times New Roman"/>
          <w:b w:val="0"/>
          <w:szCs w:val="24"/>
        </w:rPr>
        <w:t xml:space="preserve">in both </w:t>
      </w:r>
      <w:r w:rsidR="007229CD" w:rsidRPr="00240A8F">
        <w:rPr>
          <w:rFonts w:eastAsia="TimesNewRoman" w:cs="Times New Roman"/>
          <w:b w:val="0"/>
          <w:szCs w:val="24"/>
        </w:rPr>
        <w:t>the US and Ex-US approaches (</w:t>
      </w:r>
      <w:r w:rsidR="00603B11" w:rsidRPr="00240A8F">
        <w:rPr>
          <w:rFonts w:eastAsia="TimesNewRoman" w:cs="Times New Roman"/>
          <w:b w:val="0"/>
          <w:szCs w:val="24"/>
        </w:rPr>
        <w:t xml:space="preserve">table </w:t>
      </w:r>
      <w:r w:rsidR="007229CD" w:rsidRPr="00240A8F">
        <w:rPr>
          <w:rFonts w:eastAsia="TimesNewRoman" w:cs="Times New Roman"/>
          <w:b w:val="0"/>
          <w:szCs w:val="24"/>
        </w:rPr>
        <w:t xml:space="preserve">2 </w:t>
      </w:r>
      <w:r w:rsidR="002557CB" w:rsidRPr="00240A8F">
        <w:rPr>
          <w:rFonts w:eastAsia="TimesNewRoman" w:cs="Times New Roman"/>
          <w:b w:val="0"/>
          <w:szCs w:val="24"/>
        </w:rPr>
        <w:t xml:space="preserve">and </w:t>
      </w:r>
      <w:r w:rsidR="00603B11" w:rsidRPr="00240A8F">
        <w:rPr>
          <w:rFonts w:eastAsia="TimesNewRoman" w:cs="Times New Roman"/>
          <w:b w:val="0"/>
          <w:szCs w:val="24"/>
        </w:rPr>
        <w:t xml:space="preserve">table </w:t>
      </w:r>
      <w:r w:rsidR="00F9176D" w:rsidRPr="00240A8F">
        <w:rPr>
          <w:rFonts w:eastAsia="TimesNewRoman" w:cs="Times New Roman"/>
          <w:b w:val="0"/>
          <w:szCs w:val="24"/>
        </w:rPr>
        <w:t>E</w:t>
      </w:r>
      <w:r w:rsidR="007924B4" w:rsidRPr="00240A8F">
        <w:rPr>
          <w:rFonts w:eastAsia="TimesNewRoman" w:cs="Times New Roman"/>
          <w:b w:val="0"/>
          <w:szCs w:val="24"/>
        </w:rPr>
        <w:t>2</w:t>
      </w:r>
      <w:r w:rsidR="007229CD" w:rsidRPr="00240A8F">
        <w:rPr>
          <w:rFonts w:eastAsia="TimesNewRoman" w:cs="Times New Roman"/>
          <w:b w:val="0"/>
          <w:szCs w:val="24"/>
        </w:rPr>
        <w:t xml:space="preserve">). However, </w:t>
      </w:r>
      <w:r w:rsidR="008F44DC" w:rsidRPr="00240A8F">
        <w:rPr>
          <w:rFonts w:cs="Times New Roman"/>
          <w:b w:val="0"/>
          <w:szCs w:val="24"/>
        </w:rPr>
        <w:t xml:space="preserve">in </w:t>
      </w:r>
      <w:r w:rsidR="007229CD" w:rsidRPr="00240A8F">
        <w:rPr>
          <w:rFonts w:cs="Times New Roman"/>
          <w:b w:val="0"/>
          <w:szCs w:val="24"/>
        </w:rPr>
        <w:t>the Ex-US approach</w:t>
      </w:r>
      <w:r w:rsidR="00C05CF0" w:rsidRPr="00240A8F">
        <w:rPr>
          <w:rFonts w:cs="Times New Roman"/>
          <w:b w:val="0"/>
          <w:szCs w:val="24"/>
        </w:rPr>
        <w:t>,</w:t>
      </w:r>
      <w:r w:rsidR="007229CD" w:rsidRPr="00240A8F">
        <w:rPr>
          <w:rFonts w:eastAsia="TimesNewRoman" w:cs="Times New Roman"/>
          <w:b w:val="0"/>
          <w:szCs w:val="24"/>
        </w:rPr>
        <w:t xml:space="preserve"> the </w:t>
      </w:r>
      <w:r w:rsidR="008F44DC" w:rsidRPr="00240A8F">
        <w:rPr>
          <w:rFonts w:eastAsia="TimesNewRoman" w:cs="Times New Roman"/>
          <w:b w:val="0"/>
          <w:szCs w:val="24"/>
        </w:rPr>
        <w:t>treatment difference between</w:t>
      </w:r>
      <w:r w:rsidR="00382B94" w:rsidRPr="00240A8F">
        <w:rPr>
          <w:rFonts w:eastAsia="TimesNewRoman" w:cs="Times New Roman"/>
          <w:b w:val="0"/>
          <w:szCs w:val="24"/>
        </w:rPr>
        <w:t xml:space="preserve"> BFF MDI 320/10</w:t>
      </w:r>
      <w:r w:rsidR="007229CD" w:rsidRPr="00240A8F">
        <w:rPr>
          <w:rFonts w:eastAsia="TimesNewRoman" w:cs="Times New Roman"/>
          <w:b w:val="0"/>
          <w:szCs w:val="24"/>
        </w:rPr>
        <w:t xml:space="preserve"> μg </w:t>
      </w:r>
      <w:r w:rsidR="008F44DC" w:rsidRPr="00240A8F">
        <w:rPr>
          <w:rFonts w:eastAsia="TimesNewRoman" w:cs="Times New Roman"/>
          <w:b w:val="0"/>
          <w:szCs w:val="24"/>
        </w:rPr>
        <w:t xml:space="preserve">and </w:t>
      </w:r>
      <w:r w:rsidR="007229CD" w:rsidRPr="00240A8F">
        <w:rPr>
          <w:rFonts w:eastAsia="TimesNewRoman" w:cs="Times New Roman"/>
          <w:b w:val="0"/>
          <w:szCs w:val="24"/>
        </w:rPr>
        <w:t xml:space="preserve">FF MDI was not statistically significant due to the Type I error control for this approach </w:t>
      </w:r>
      <w:r w:rsidR="007229CD" w:rsidRPr="00240A8F">
        <w:rPr>
          <w:rFonts w:cs="Times New Roman"/>
          <w:b w:val="0"/>
          <w:szCs w:val="24"/>
        </w:rPr>
        <w:t>(which included the TDI endpoint).</w:t>
      </w:r>
    </w:p>
    <w:p w14:paraId="724F2586" w14:textId="77777777" w:rsidR="00F42B78" w:rsidRPr="00240A8F" w:rsidRDefault="00C05CF0" w:rsidP="00F42B78">
      <w:pPr>
        <w:spacing w:line="480" w:lineRule="auto"/>
        <w:rPr>
          <w:rFonts w:cs="Times New Roman"/>
          <w:b w:val="0"/>
          <w:szCs w:val="24"/>
        </w:rPr>
      </w:pPr>
      <w:r w:rsidRPr="00240A8F">
        <w:rPr>
          <w:rFonts w:cs="Times New Roman"/>
          <w:b w:val="0"/>
          <w:szCs w:val="24"/>
        </w:rPr>
        <w:t xml:space="preserve">Both doses of BFF MDI demonstrated statistically significant improvements </w:t>
      </w:r>
      <w:r w:rsidRPr="00240A8F">
        <w:rPr>
          <w:rFonts w:cs="Times New Roman"/>
          <w:b w:val="0"/>
          <w:i/>
          <w:szCs w:val="24"/>
        </w:rPr>
        <w:t>versus</w:t>
      </w:r>
      <w:r w:rsidRPr="00240A8F">
        <w:rPr>
          <w:rFonts w:cs="Times New Roman"/>
          <w:b w:val="0"/>
          <w:szCs w:val="24"/>
        </w:rPr>
        <w:t xml:space="preserve"> FF MDI for time to first CID, EXACT total score, rescue medication use and percentage of SGRQ responders over 24 weeks. </w:t>
      </w:r>
      <w:r w:rsidR="007229CD" w:rsidRPr="00240A8F">
        <w:rPr>
          <w:rFonts w:cs="Times New Roman"/>
          <w:b w:val="0"/>
          <w:szCs w:val="24"/>
        </w:rPr>
        <w:t>Mean (</w:t>
      </w:r>
      <w:r w:rsidR="00FC5CCC" w:rsidRPr="00240A8F">
        <w:rPr>
          <w:rFonts w:cs="Times New Roman"/>
          <w:b w:val="0"/>
          <w:szCs w:val="24"/>
        </w:rPr>
        <w:t>standard deviation</w:t>
      </w:r>
      <w:r w:rsidR="003A3846" w:rsidRPr="00240A8F">
        <w:rPr>
          <w:rFonts w:cs="Times New Roman"/>
          <w:b w:val="0"/>
          <w:szCs w:val="24"/>
        </w:rPr>
        <w:t xml:space="preserve"> [SD]</w:t>
      </w:r>
      <w:r w:rsidR="007229CD" w:rsidRPr="00240A8F">
        <w:rPr>
          <w:rFonts w:cs="Times New Roman"/>
          <w:b w:val="0"/>
          <w:szCs w:val="24"/>
        </w:rPr>
        <w:t>) baseline EXACT total scores were similar across treatment groups (BFF MDI 320/</w:t>
      </w:r>
      <w:r w:rsidR="00A12768" w:rsidRPr="00240A8F">
        <w:rPr>
          <w:rFonts w:cs="Times New Roman"/>
          <w:b w:val="0"/>
          <w:szCs w:val="24"/>
        </w:rPr>
        <w:t>10 µg</w:t>
      </w:r>
      <w:r w:rsidR="007229CD" w:rsidRPr="00240A8F">
        <w:rPr>
          <w:rFonts w:cs="Times New Roman"/>
          <w:b w:val="0"/>
          <w:szCs w:val="24"/>
        </w:rPr>
        <w:t>, 36.7 [12.1]; BFF MDI 160/</w:t>
      </w:r>
      <w:r w:rsidR="00A12768" w:rsidRPr="00240A8F">
        <w:rPr>
          <w:rFonts w:cs="Times New Roman"/>
          <w:b w:val="0"/>
          <w:szCs w:val="24"/>
        </w:rPr>
        <w:t>10 µg</w:t>
      </w:r>
      <w:r w:rsidR="007229CD" w:rsidRPr="00240A8F">
        <w:rPr>
          <w:rFonts w:cs="Times New Roman"/>
          <w:b w:val="0"/>
          <w:szCs w:val="24"/>
        </w:rPr>
        <w:t>, 36.3 [11.4]; FF MDI</w:t>
      </w:r>
      <w:r w:rsidR="002F62BB" w:rsidRPr="00240A8F">
        <w:rPr>
          <w:rFonts w:cs="Times New Roman"/>
          <w:b w:val="0"/>
          <w:szCs w:val="24"/>
        </w:rPr>
        <w:t>,</w:t>
      </w:r>
      <w:r w:rsidR="007229CD" w:rsidRPr="00240A8F">
        <w:rPr>
          <w:rFonts w:cs="Times New Roman"/>
          <w:b w:val="0"/>
          <w:szCs w:val="24"/>
        </w:rPr>
        <w:t xml:space="preserve"> 36.5 [11.8]). </w:t>
      </w:r>
      <w:r w:rsidRPr="00240A8F">
        <w:rPr>
          <w:rFonts w:cs="Times New Roman"/>
          <w:b w:val="0"/>
          <w:szCs w:val="24"/>
        </w:rPr>
        <w:t>The mean (</w:t>
      </w:r>
      <w:r w:rsidR="003A3846" w:rsidRPr="00240A8F">
        <w:rPr>
          <w:rFonts w:cs="Times New Roman"/>
          <w:b w:val="0"/>
          <w:szCs w:val="24"/>
        </w:rPr>
        <w:t>SD</w:t>
      </w:r>
      <w:r w:rsidRPr="00240A8F">
        <w:rPr>
          <w:rFonts w:cs="Times New Roman"/>
          <w:b w:val="0"/>
          <w:szCs w:val="24"/>
        </w:rPr>
        <w:t xml:space="preserve">) </w:t>
      </w:r>
      <w:r w:rsidR="002F62BB" w:rsidRPr="00240A8F">
        <w:rPr>
          <w:rFonts w:cs="Times New Roman"/>
          <w:b w:val="0"/>
          <w:szCs w:val="24"/>
        </w:rPr>
        <w:t xml:space="preserve">Baseline </w:t>
      </w:r>
      <w:r w:rsidR="00A13949" w:rsidRPr="00240A8F">
        <w:rPr>
          <w:rFonts w:cs="Times New Roman"/>
          <w:b w:val="0"/>
          <w:szCs w:val="24"/>
        </w:rPr>
        <w:t>Dyspnoea</w:t>
      </w:r>
      <w:r w:rsidRPr="00240A8F">
        <w:rPr>
          <w:rFonts w:cs="Times New Roman"/>
          <w:b w:val="0"/>
          <w:szCs w:val="24"/>
        </w:rPr>
        <w:t xml:space="preserve"> </w:t>
      </w:r>
      <w:r w:rsidR="002F62BB" w:rsidRPr="00240A8F">
        <w:rPr>
          <w:rFonts w:cs="Times New Roman"/>
          <w:b w:val="0"/>
          <w:szCs w:val="24"/>
        </w:rPr>
        <w:t>I</w:t>
      </w:r>
      <w:r w:rsidRPr="00240A8F">
        <w:rPr>
          <w:rFonts w:cs="Times New Roman"/>
          <w:b w:val="0"/>
          <w:szCs w:val="24"/>
        </w:rPr>
        <w:t>ndex focal score was similar for all treatment groups (BFF MDI 320/</w:t>
      </w:r>
      <w:r w:rsidR="00A12768" w:rsidRPr="00240A8F">
        <w:rPr>
          <w:rFonts w:cs="Times New Roman"/>
          <w:b w:val="0"/>
          <w:szCs w:val="24"/>
        </w:rPr>
        <w:t>10 µg</w:t>
      </w:r>
      <w:r w:rsidRPr="00240A8F">
        <w:rPr>
          <w:rFonts w:cs="Times New Roman"/>
          <w:b w:val="0"/>
          <w:szCs w:val="24"/>
        </w:rPr>
        <w:t>, 6.0 [2.0]; BFF MDI 160/</w:t>
      </w:r>
      <w:r w:rsidR="00A12768" w:rsidRPr="00240A8F">
        <w:rPr>
          <w:rFonts w:cs="Times New Roman"/>
          <w:b w:val="0"/>
          <w:szCs w:val="24"/>
        </w:rPr>
        <w:t>10 µg</w:t>
      </w:r>
      <w:r w:rsidRPr="00240A8F">
        <w:rPr>
          <w:rFonts w:cs="Times New Roman"/>
          <w:b w:val="0"/>
          <w:szCs w:val="24"/>
        </w:rPr>
        <w:t xml:space="preserve">, 5.9 [1.9]; FF MDI, 6.0 [2.0]; </w:t>
      </w:r>
      <w:r w:rsidR="00603B11" w:rsidRPr="00240A8F">
        <w:rPr>
          <w:rFonts w:cs="Times New Roman"/>
          <w:b w:val="0"/>
          <w:szCs w:val="24"/>
        </w:rPr>
        <w:t xml:space="preserve">table </w:t>
      </w:r>
      <w:r w:rsidRPr="00240A8F">
        <w:rPr>
          <w:rFonts w:cs="Times New Roman"/>
          <w:b w:val="0"/>
          <w:szCs w:val="24"/>
        </w:rPr>
        <w:t>1).</w:t>
      </w:r>
      <w:r w:rsidRPr="00240A8F">
        <w:rPr>
          <w:rFonts w:cs="Times New Roman"/>
          <w:b w:val="0"/>
          <w:i/>
          <w:szCs w:val="24"/>
        </w:rPr>
        <w:t xml:space="preserve"> </w:t>
      </w:r>
      <w:r w:rsidR="004F23EE" w:rsidRPr="00240A8F">
        <w:rPr>
          <w:rFonts w:cs="Times New Roman"/>
          <w:b w:val="0"/>
          <w:szCs w:val="24"/>
        </w:rPr>
        <w:t>Treatment</w:t>
      </w:r>
      <w:r w:rsidR="008F44DC" w:rsidRPr="00240A8F">
        <w:rPr>
          <w:rFonts w:cs="Times New Roman"/>
          <w:b w:val="0"/>
          <w:szCs w:val="24"/>
        </w:rPr>
        <w:t xml:space="preserve"> differences in</w:t>
      </w:r>
      <w:r w:rsidRPr="00240A8F">
        <w:rPr>
          <w:rFonts w:cs="Times New Roman"/>
          <w:b w:val="0"/>
          <w:szCs w:val="24"/>
        </w:rPr>
        <w:t xml:space="preserve"> TDI focal score </w:t>
      </w:r>
      <w:r w:rsidR="008F44DC" w:rsidRPr="00240A8F">
        <w:rPr>
          <w:rFonts w:cs="Times New Roman"/>
          <w:b w:val="0"/>
          <w:szCs w:val="24"/>
        </w:rPr>
        <w:t xml:space="preserve">over 24 weeks </w:t>
      </w:r>
      <w:r w:rsidRPr="00240A8F">
        <w:rPr>
          <w:rFonts w:cs="Times New Roman"/>
          <w:b w:val="0"/>
          <w:szCs w:val="24"/>
        </w:rPr>
        <w:t xml:space="preserve">did not reach statistical significance for either dose of BFF MDI </w:t>
      </w:r>
      <w:r w:rsidRPr="00240A8F">
        <w:rPr>
          <w:rFonts w:cs="Times New Roman"/>
          <w:b w:val="0"/>
          <w:i/>
          <w:szCs w:val="24"/>
        </w:rPr>
        <w:t>versus</w:t>
      </w:r>
      <w:r w:rsidRPr="00240A8F">
        <w:rPr>
          <w:rFonts w:cs="Times New Roman"/>
          <w:b w:val="0"/>
          <w:szCs w:val="24"/>
        </w:rPr>
        <w:t xml:space="preserve"> FF MDI (</w:t>
      </w:r>
      <w:r w:rsidR="00603B11" w:rsidRPr="00240A8F">
        <w:rPr>
          <w:rFonts w:cs="Times New Roman"/>
          <w:b w:val="0"/>
          <w:szCs w:val="24"/>
        </w:rPr>
        <w:t xml:space="preserve">table </w:t>
      </w:r>
      <w:r w:rsidRPr="00240A8F">
        <w:rPr>
          <w:rFonts w:cs="Times New Roman"/>
          <w:b w:val="0"/>
          <w:szCs w:val="24"/>
        </w:rPr>
        <w:t>E</w:t>
      </w:r>
      <w:r w:rsidR="007924B4" w:rsidRPr="00240A8F">
        <w:rPr>
          <w:rFonts w:cs="Times New Roman"/>
          <w:b w:val="0"/>
          <w:szCs w:val="24"/>
        </w:rPr>
        <w:t>2</w:t>
      </w:r>
      <w:r w:rsidRPr="00240A8F">
        <w:rPr>
          <w:rFonts w:cs="Times New Roman"/>
          <w:b w:val="0"/>
          <w:szCs w:val="24"/>
        </w:rPr>
        <w:t>).</w:t>
      </w:r>
    </w:p>
    <w:p w14:paraId="615F8A3A" w14:textId="77777777" w:rsidR="00F54A5E" w:rsidRPr="00240A8F" w:rsidRDefault="008F44DC" w:rsidP="00F42B78">
      <w:pPr>
        <w:spacing w:line="480" w:lineRule="auto"/>
        <w:rPr>
          <w:rFonts w:cs="Times New Roman"/>
          <w:b w:val="0"/>
          <w:szCs w:val="24"/>
        </w:rPr>
      </w:pPr>
      <w:r w:rsidRPr="00240A8F">
        <w:rPr>
          <w:rFonts w:cs="Times New Roman"/>
          <w:b w:val="0"/>
          <w:szCs w:val="24"/>
        </w:rPr>
        <w:lastRenderedPageBreak/>
        <w:t>Similar to the US approach, s</w:t>
      </w:r>
      <w:r w:rsidR="004E0F7B" w:rsidRPr="00240A8F">
        <w:rPr>
          <w:rFonts w:cs="Times New Roman"/>
          <w:b w:val="0"/>
          <w:szCs w:val="24"/>
        </w:rPr>
        <w:t xml:space="preserve">ubgroup analyses </w:t>
      </w:r>
      <w:r w:rsidRPr="00240A8F">
        <w:rPr>
          <w:rFonts w:cs="Times New Roman"/>
          <w:b w:val="0"/>
          <w:szCs w:val="24"/>
        </w:rPr>
        <w:t xml:space="preserve">revealed </w:t>
      </w:r>
      <w:r w:rsidR="004E0F7B" w:rsidRPr="00240A8F">
        <w:rPr>
          <w:rFonts w:cs="Times New Roman"/>
          <w:b w:val="0"/>
          <w:szCs w:val="24"/>
        </w:rPr>
        <w:t>that the improvements in morning pre-dose trough FEV</w:t>
      </w:r>
      <w:r w:rsidR="004E0F7B" w:rsidRPr="00240A8F">
        <w:rPr>
          <w:rFonts w:cs="Times New Roman"/>
          <w:b w:val="0"/>
          <w:szCs w:val="24"/>
          <w:vertAlign w:val="subscript"/>
        </w:rPr>
        <w:t>1</w:t>
      </w:r>
      <w:r w:rsidR="004E0F7B" w:rsidRPr="00240A8F">
        <w:rPr>
          <w:rFonts w:cs="Times New Roman"/>
          <w:b w:val="0"/>
          <w:szCs w:val="24"/>
        </w:rPr>
        <w:t xml:space="preserve"> over 24 weeks with BFF MDI compared with FF MDI were driven by patients with a baseline blood eosinophil count ≥150 cells/mm</w:t>
      </w:r>
      <w:r w:rsidR="004E0F7B" w:rsidRPr="00240A8F">
        <w:rPr>
          <w:rFonts w:cs="Times New Roman"/>
          <w:b w:val="0"/>
          <w:szCs w:val="24"/>
          <w:vertAlign w:val="superscript"/>
        </w:rPr>
        <w:t>3</w:t>
      </w:r>
      <w:r w:rsidR="00A13949" w:rsidRPr="00240A8F">
        <w:rPr>
          <w:rFonts w:cs="Times New Roman"/>
          <w:b w:val="0"/>
          <w:szCs w:val="24"/>
        </w:rPr>
        <w:t xml:space="preserve"> (f</w:t>
      </w:r>
      <w:r w:rsidR="00A80CD9" w:rsidRPr="00240A8F">
        <w:rPr>
          <w:rFonts w:cs="Times New Roman"/>
          <w:b w:val="0"/>
          <w:szCs w:val="24"/>
        </w:rPr>
        <w:t>igure E4</w:t>
      </w:r>
      <w:r w:rsidR="004E0F7B" w:rsidRPr="00240A8F">
        <w:rPr>
          <w:rFonts w:cs="Times New Roman"/>
          <w:b w:val="0"/>
          <w:szCs w:val="24"/>
        </w:rPr>
        <w:t xml:space="preserve">). </w:t>
      </w:r>
      <w:r w:rsidRPr="00240A8F">
        <w:rPr>
          <w:rFonts w:cs="Times New Roman"/>
          <w:b w:val="0"/>
          <w:szCs w:val="24"/>
        </w:rPr>
        <w:t>The number of</w:t>
      </w:r>
      <w:r w:rsidR="004E0F7B" w:rsidRPr="00240A8F">
        <w:rPr>
          <w:rFonts w:cs="Times New Roman"/>
          <w:b w:val="0"/>
          <w:szCs w:val="24"/>
        </w:rPr>
        <w:t xml:space="preserve"> COPD exacerbation</w:t>
      </w:r>
      <w:r w:rsidRPr="00240A8F">
        <w:rPr>
          <w:rFonts w:cs="Times New Roman"/>
          <w:b w:val="0"/>
          <w:szCs w:val="24"/>
        </w:rPr>
        <w:t xml:space="preserve">s in the previous 12 months </w:t>
      </w:r>
      <w:r w:rsidR="004E0F7B" w:rsidRPr="00240A8F">
        <w:rPr>
          <w:rFonts w:cs="Times New Roman"/>
          <w:b w:val="0"/>
          <w:szCs w:val="24"/>
        </w:rPr>
        <w:t>(</w:t>
      </w:r>
      <w:r w:rsidR="003B5A9C" w:rsidRPr="00240A8F">
        <w:rPr>
          <w:rFonts w:cs="Times New Roman"/>
          <w:b w:val="0"/>
          <w:szCs w:val="24"/>
        </w:rPr>
        <w:t>1</w:t>
      </w:r>
      <w:r w:rsidR="004E0F7B" w:rsidRPr="00240A8F">
        <w:rPr>
          <w:rFonts w:cs="Times New Roman"/>
          <w:b w:val="0"/>
          <w:szCs w:val="24"/>
        </w:rPr>
        <w:t xml:space="preserve"> </w:t>
      </w:r>
      <w:r w:rsidR="00BE31D4" w:rsidRPr="00240A8F">
        <w:rPr>
          <w:rFonts w:cs="Times New Roman"/>
          <w:b w:val="0"/>
          <w:i/>
          <w:szCs w:val="24"/>
        </w:rPr>
        <w:t>versus</w:t>
      </w:r>
      <w:r w:rsidR="004E0F7B" w:rsidRPr="00240A8F">
        <w:rPr>
          <w:rFonts w:cs="Times New Roman"/>
          <w:b w:val="0"/>
          <w:szCs w:val="24"/>
        </w:rPr>
        <w:t xml:space="preserve"> ≥2 exacerbations) appeared to </w:t>
      </w:r>
      <w:r w:rsidR="00D2344E" w:rsidRPr="00240A8F">
        <w:rPr>
          <w:rFonts w:cs="Times New Roman"/>
          <w:b w:val="0"/>
          <w:szCs w:val="24"/>
        </w:rPr>
        <w:t>not a</w:t>
      </w:r>
      <w:r w:rsidR="004E0F7B" w:rsidRPr="00240A8F">
        <w:rPr>
          <w:rFonts w:cs="Times New Roman"/>
          <w:b w:val="0"/>
          <w:szCs w:val="24"/>
        </w:rPr>
        <w:t xml:space="preserve">ffect </w:t>
      </w:r>
      <w:r w:rsidRPr="00240A8F">
        <w:rPr>
          <w:rFonts w:cs="Times New Roman"/>
          <w:b w:val="0"/>
          <w:szCs w:val="24"/>
        </w:rPr>
        <w:t>morning pre-dose trough FEV</w:t>
      </w:r>
      <w:r w:rsidRPr="00240A8F">
        <w:rPr>
          <w:rFonts w:cs="Times New Roman"/>
          <w:b w:val="0"/>
          <w:szCs w:val="24"/>
          <w:vertAlign w:val="subscript"/>
        </w:rPr>
        <w:t>1</w:t>
      </w:r>
      <w:r w:rsidRPr="00240A8F">
        <w:rPr>
          <w:rFonts w:cs="Times New Roman"/>
          <w:b w:val="0"/>
          <w:szCs w:val="24"/>
        </w:rPr>
        <w:t xml:space="preserve"> over 24 weeks</w:t>
      </w:r>
      <w:r w:rsidRPr="00240A8F" w:rsidDel="008F44DC">
        <w:rPr>
          <w:rFonts w:cs="Times New Roman"/>
          <w:b w:val="0"/>
          <w:szCs w:val="24"/>
        </w:rPr>
        <w:t xml:space="preserve"> </w:t>
      </w:r>
      <w:r w:rsidR="00A13949" w:rsidRPr="00240A8F">
        <w:rPr>
          <w:rFonts w:cs="Times New Roman"/>
          <w:b w:val="0"/>
          <w:szCs w:val="24"/>
        </w:rPr>
        <w:t>(f</w:t>
      </w:r>
      <w:r w:rsidR="004E0F7B" w:rsidRPr="00240A8F">
        <w:rPr>
          <w:rFonts w:cs="Times New Roman"/>
          <w:b w:val="0"/>
          <w:szCs w:val="24"/>
        </w:rPr>
        <w:t>igure E</w:t>
      </w:r>
      <w:r w:rsidR="00A80CD9" w:rsidRPr="00240A8F">
        <w:rPr>
          <w:rFonts w:cs="Times New Roman"/>
          <w:b w:val="0"/>
          <w:szCs w:val="24"/>
        </w:rPr>
        <w:t>5</w:t>
      </w:r>
      <w:r w:rsidR="004E0F7B" w:rsidRPr="00240A8F">
        <w:rPr>
          <w:rFonts w:cs="Times New Roman"/>
          <w:b w:val="0"/>
          <w:szCs w:val="24"/>
        </w:rPr>
        <w:t>)</w:t>
      </w:r>
      <w:r w:rsidR="005C69DA" w:rsidRPr="00240A8F">
        <w:rPr>
          <w:rFonts w:cs="Times New Roman"/>
          <w:b w:val="0"/>
          <w:szCs w:val="24"/>
        </w:rPr>
        <w:t>.</w:t>
      </w:r>
    </w:p>
    <w:p w14:paraId="2946B959" w14:textId="77777777" w:rsidR="00DC7894" w:rsidRPr="00240A8F" w:rsidRDefault="007229CD" w:rsidP="00D0176B">
      <w:pPr>
        <w:pStyle w:val="Heading2"/>
        <w:rPr>
          <w:i/>
        </w:rPr>
      </w:pPr>
      <w:r w:rsidRPr="00240A8F">
        <w:rPr>
          <w:i/>
        </w:rPr>
        <w:t>Deaths</w:t>
      </w:r>
    </w:p>
    <w:p w14:paraId="194162DA" w14:textId="77777777" w:rsidR="00D0176B" w:rsidRPr="00240A8F" w:rsidRDefault="008D4447" w:rsidP="007229CD">
      <w:pPr>
        <w:spacing w:after="0" w:line="480" w:lineRule="auto"/>
        <w:rPr>
          <w:rFonts w:cs="Times New Roman"/>
          <w:b w:val="0"/>
          <w:szCs w:val="24"/>
        </w:rPr>
      </w:pPr>
      <w:r w:rsidRPr="00240A8F">
        <w:rPr>
          <w:rFonts w:cs="Times New Roman"/>
          <w:b w:val="0"/>
        </w:rPr>
        <w:t>Of the 22 deaths in the study</w:t>
      </w:r>
      <w:r w:rsidR="006B5546" w:rsidRPr="00240A8F">
        <w:rPr>
          <w:rFonts w:cs="Times New Roman"/>
          <w:b w:val="0"/>
        </w:rPr>
        <w:t xml:space="preserve"> (on- and post-treatment)</w:t>
      </w:r>
      <w:r w:rsidRPr="00240A8F">
        <w:rPr>
          <w:rFonts w:cs="Times New Roman"/>
          <w:b w:val="0"/>
        </w:rPr>
        <w:t>, seven were due to cardiovascular causes (</w:t>
      </w:r>
      <w:r w:rsidRPr="00240A8F">
        <w:rPr>
          <w:rFonts w:cs="Times New Roman"/>
          <w:b w:val="0"/>
          <w:szCs w:val="24"/>
        </w:rPr>
        <w:t>BFF MDI 320/</w:t>
      </w:r>
      <w:r w:rsidR="00A12768" w:rsidRPr="00240A8F">
        <w:rPr>
          <w:rFonts w:cs="Times New Roman"/>
          <w:b w:val="0"/>
          <w:szCs w:val="24"/>
        </w:rPr>
        <w:t>10 µg</w:t>
      </w:r>
      <w:r w:rsidRPr="00240A8F">
        <w:rPr>
          <w:rFonts w:cs="Times New Roman"/>
          <w:b w:val="0"/>
          <w:szCs w:val="24"/>
        </w:rPr>
        <w:t xml:space="preserve">, </w:t>
      </w:r>
      <w:r w:rsidR="00384BAC" w:rsidRPr="00240A8F">
        <w:rPr>
          <w:rFonts w:cs="Times New Roman"/>
          <w:b w:val="0"/>
          <w:szCs w:val="24"/>
        </w:rPr>
        <w:t>n</w:t>
      </w:r>
      <w:r w:rsidR="00E860B7" w:rsidRPr="00240A8F">
        <w:rPr>
          <w:rFonts w:cs="Times New Roman"/>
          <w:b w:val="0"/>
          <w:szCs w:val="24"/>
        </w:rPr>
        <w:t>=</w:t>
      </w:r>
      <w:r w:rsidRPr="00240A8F">
        <w:rPr>
          <w:rFonts w:cs="Times New Roman"/>
          <w:b w:val="0"/>
          <w:szCs w:val="24"/>
        </w:rPr>
        <w:t>3; BFF MDI 160/</w:t>
      </w:r>
      <w:r w:rsidR="00A12768" w:rsidRPr="00240A8F">
        <w:rPr>
          <w:rFonts w:cs="Times New Roman"/>
          <w:b w:val="0"/>
          <w:szCs w:val="24"/>
        </w:rPr>
        <w:t>10 µg</w:t>
      </w:r>
      <w:r w:rsidRPr="00240A8F">
        <w:rPr>
          <w:rFonts w:cs="Times New Roman"/>
          <w:b w:val="0"/>
          <w:szCs w:val="24"/>
        </w:rPr>
        <w:t xml:space="preserve">, </w:t>
      </w:r>
      <w:r w:rsidR="00384BAC" w:rsidRPr="00240A8F">
        <w:rPr>
          <w:rFonts w:cs="Times New Roman"/>
          <w:b w:val="0"/>
          <w:szCs w:val="24"/>
        </w:rPr>
        <w:t>n</w:t>
      </w:r>
      <w:r w:rsidR="00E860B7" w:rsidRPr="00240A8F">
        <w:rPr>
          <w:rFonts w:cs="Times New Roman"/>
          <w:b w:val="0"/>
          <w:szCs w:val="24"/>
        </w:rPr>
        <w:t>=</w:t>
      </w:r>
      <w:r w:rsidRPr="00240A8F">
        <w:rPr>
          <w:rFonts w:cs="Times New Roman"/>
          <w:b w:val="0"/>
          <w:szCs w:val="24"/>
        </w:rPr>
        <w:t xml:space="preserve">3; FF MDI, </w:t>
      </w:r>
      <w:r w:rsidR="00384BAC" w:rsidRPr="00240A8F">
        <w:rPr>
          <w:rFonts w:cs="Times New Roman"/>
          <w:b w:val="0"/>
          <w:szCs w:val="24"/>
        </w:rPr>
        <w:t>n</w:t>
      </w:r>
      <w:r w:rsidR="00E860B7" w:rsidRPr="00240A8F">
        <w:rPr>
          <w:rFonts w:cs="Times New Roman"/>
          <w:b w:val="0"/>
          <w:szCs w:val="24"/>
        </w:rPr>
        <w:t>=</w:t>
      </w:r>
      <w:r w:rsidRPr="00240A8F">
        <w:rPr>
          <w:rFonts w:cs="Times New Roman"/>
          <w:b w:val="0"/>
          <w:szCs w:val="24"/>
        </w:rPr>
        <w:t>1</w:t>
      </w:r>
      <w:r w:rsidR="006B5546" w:rsidRPr="00240A8F">
        <w:rPr>
          <w:rFonts w:cs="Times New Roman"/>
          <w:b w:val="0"/>
        </w:rPr>
        <w:t xml:space="preserve">), </w:t>
      </w:r>
      <w:r w:rsidRPr="00240A8F">
        <w:rPr>
          <w:rFonts w:cs="Times New Roman"/>
          <w:b w:val="0"/>
        </w:rPr>
        <w:t>seven were due to respiratory causes (</w:t>
      </w:r>
      <w:r w:rsidRPr="00240A8F">
        <w:rPr>
          <w:rFonts w:cs="Times New Roman"/>
          <w:b w:val="0"/>
          <w:szCs w:val="24"/>
        </w:rPr>
        <w:t>BFF MDI 320/</w:t>
      </w:r>
      <w:r w:rsidR="00A12768" w:rsidRPr="00240A8F">
        <w:rPr>
          <w:rFonts w:cs="Times New Roman"/>
          <w:b w:val="0"/>
          <w:szCs w:val="24"/>
        </w:rPr>
        <w:t>10 µg</w:t>
      </w:r>
      <w:r w:rsidRPr="00240A8F">
        <w:rPr>
          <w:rFonts w:cs="Times New Roman"/>
          <w:b w:val="0"/>
          <w:szCs w:val="24"/>
        </w:rPr>
        <w:t xml:space="preserve">, </w:t>
      </w:r>
      <w:r w:rsidR="00384BAC" w:rsidRPr="00240A8F">
        <w:rPr>
          <w:rFonts w:cs="Times New Roman"/>
          <w:b w:val="0"/>
          <w:szCs w:val="24"/>
        </w:rPr>
        <w:t>n</w:t>
      </w:r>
      <w:r w:rsidR="00E860B7" w:rsidRPr="00240A8F">
        <w:rPr>
          <w:rFonts w:cs="Times New Roman"/>
          <w:b w:val="0"/>
          <w:szCs w:val="24"/>
        </w:rPr>
        <w:t>=</w:t>
      </w:r>
      <w:r w:rsidRPr="00240A8F">
        <w:rPr>
          <w:rFonts w:cs="Times New Roman"/>
          <w:b w:val="0"/>
          <w:szCs w:val="24"/>
        </w:rPr>
        <w:t>1; BFF MDI 160/</w:t>
      </w:r>
      <w:r w:rsidR="00A12768" w:rsidRPr="00240A8F">
        <w:rPr>
          <w:rFonts w:cs="Times New Roman"/>
          <w:b w:val="0"/>
          <w:szCs w:val="24"/>
        </w:rPr>
        <w:t>10 µg</w:t>
      </w:r>
      <w:r w:rsidRPr="00240A8F">
        <w:rPr>
          <w:rFonts w:cs="Times New Roman"/>
          <w:b w:val="0"/>
          <w:szCs w:val="24"/>
        </w:rPr>
        <w:t xml:space="preserve">, </w:t>
      </w:r>
      <w:r w:rsidR="00384BAC" w:rsidRPr="00240A8F">
        <w:rPr>
          <w:rFonts w:cs="Times New Roman"/>
          <w:b w:val="0"/>
          <w:szCs w:val="24"/>
        </w:rPr>
        <w:t>n</w:t>
      </w:r>
      <w:r w:rsidR="00E860B7" w:rsidRPr="00240A8F">
        <w:rPr>
          <w:rFonts w:cs="Times New Roman"/>
          <w:b w:val="0"/>
          <w:szCs w:val="24"/>
        </w:rPr>
        <w:t>=</w:t>
      </w:r>
      <w:r w:rsidRPr="00240A8F">
        <w:rPr>
          <w:rFonts w:cs="Times New Roman"/>
          <w:b w:val="0"/>
          <w:szCs w:val="24"/>
        </w:rPr>
        <w:t xml:space="preserve">3; FF MDI, </w:t>
      </w:r>
      <w:r w:rsidR="00384BAC" w:rsidRPr="00240A8F">
        <w:rPr>
          <w:rFonts w:cs="Times New Roman"/>
          <w:b w:val="0"/>
          <w:szCs w:val="24"/>
        </w:rPr>
        <w:t>n</w:t>
      </w:r>
      <w:r w:rsidR="00E860B7" w:rsidRPr="00240A8F">
        <w:rPr>
          <w:rFonts w:cs="Times New Roman"/>
          <w:b w:val="0"/>
          <w:szCs w:val="24"/>
        </w:rPr>
        <w:t>=</w:t>
      </w:r>
      <w:r w:rsidRPr="00240A8F">
        <w:rPr>
          <w:rFonts w:cs="Times New Roman"/>
          <w:b w:val="0"/>
          <w:szCs w:val="24"/>
        </w:rPr>
        <w:t>3</w:t>
      </w:r>
      <w:r w:rsidR="006B5546" w:rsidRPr="00240A8F">
        <w:rPr>
          <w:rFonts w:cs="Times New Roman"/>
          <w:b w:val="0"/>
        </w:rPr>
        <w:t>), three were due to cancer</w:t>
      </w:r>
      <w:r w:rsidRPr="00240A8F">
        <w:rPr>
          <w:rFonts w:cs="Times New Roman"/>
          <w:b w:val="0"/>
        </w:rPr>
        <w:t xml:space="preserve"> </w:t>
      </w:r>
      <w:r w:rsidR="006B5546" w:rsidRPr="00240A8F">
        <w:rPr>
          <w:rFonts w:cs="Times New Roman"/>
          <w:b w:val="0"/>
        </w:rPr>
        <w:t>(</w:t>
      </w:r>
      <w:r w:rsidR="006B5546" w:rsidRPr="00240A8F">
        <w:rPr>
          <w:rFonts w:cs="Times New Roman"/>
          <w:b w:val="0"/>
          <w:szCs w:val="24"/>
        </w:rPr>
        <w:t>BFF MDI 320/</w:t>
      </w:r>
      <w:r w:rsidR="00A12768" w:rsidRPr="00240A8F">
        <w:rPr>
          <w:rFonts w:cs="Times New Roman"/>
          <w:b w:val="0"/>
          <w:szCs w:val="24"/>
        </w:rPr>
        <w:t>10 µg</w:t>
      </w:r>
      <w:r w:rsidR="006B5546" w:rsidRPr="00240A8F">
        <w:rPr>
          <w:rFonts w:cs="Times New Roman"/>
          <w:b w:val="0"/>
          <w:szCs w:val="24"/>
        </w:rPr>
        <w:t xml:space="preserve">, </w:t>
      </w:r>
      <w:r w:rsidR="00384BAC" w:rsidRPr="00240A8F">
        <w:rPr>
          <w:rFonts w:cs="Times New Roman"/>
          <w:b w:val="0"/>
          <w:szCs w:val="24"/>
        </w:rPr>
        <w:t>n</w:t>
      </w:r>
      <w:r w:rsidR="00E860B7" w:rsidRPr="00240A8F">
        <w:rPr>
          <w:rFonts w:cs="Times New Roman"/>
          <w:b w:val="0"/>
          <w:szCs w:val="24"/>
        </w:rPr>
        <w:t>=</w:t>
      </w:r>
      <w:r w:rsidR="006B5546" w:rsidRPr="00240A8F">
        <w:rPr>
          <w:rFonts w:cs="Times New Roman"/>
          <w:b w:val="0"/>
          <w:szCs w:val="24"/>
        </w:rPr>
        <w:t>2; BFF MDI 160/</w:t>
      </w:r>
      <w:r w:rsidR="00A12768" w:rsidRPr="00240A8F">
        <w:rPr>
          <w:rFonts w:cs="Times New Roman"/>
          <w:b w:val="0"/>
          <w:szCs w:val="24"/>
        </w:rPr>
        <w:t>10 µg</w:t>
      </w:r>
      <w:r w:rsidR="006B5546" w:rsidRPr="00240A8F">
        <w:rPr>
          <w:rFonts w:cs="Times New Roman"/>
          <w:b w:val="0"/>
          <w:szCs w:val="24"/>
        </w:rPr>
        <w:t xml:space="preserve">, </w:t>
      </w:r>
      <w:r w:rsidR="00384BAC" w:rsidRPr="00240A8F">
        <w:rPr>
          <w:rFonts w:cs="Times New Roman"/>
          <w:b w:val="0"/>
          <w:szCs w:val="24"/>
        </w:rPr>
        <w:t>n</w:t>
      </w:r>
      <w:r w:rsidR="00E860B7" w:rsidRPr="00240A8F">
        <w:rPr>
          <w:rFonts w:cs="Times New Roman"/>
          <w:b w:val="0"/>
          <w:szCs w:val="24"/>
        </w:rPr>
        <w:t>=</w:t>
      </w:r>
      <w:r w:rsidR="006B5546" w:rsidRPr="00240A8F">
        <w:rPr>
          <w:rFonts w:cs="Times New Roman"/>
          <w:b w:val="0"/>
          <w:szCs w:val="24"/>
        </w:rPr>
        <w:t>1</w:t>
      </w:r>
      <w:r w:rsidR="004033C7" w:rsidRPr="00240A8F">
        <w:rPr>
          <w:rFonts w:cs="Times New Roman"/>
          <w:b w:val="0"/>
        </w:rPr>
        <w:t>)</w:t>
      </w:r>
      <w:r w:rsidR="006B5546" w:rsidRPr="00240A8F">
        <w:rPr>
          <w:rFonts w:cs="Times New Roman"/>
          <w:b w:val="0"/>
        </w:rPr>
        <w:t xml:space="preserve"> and five were due to other causes (accidents, infections or unknown; </w:t>
      </w:r>
      <w:r w:rsidR="006B5546" w:rsidRPr="00240A8F">
        <w:rPr>
          <w:rFonts w:cs="Times New Roman"/>
          <w:b w:val="0"/>
          <w:szCs w:val="24"/>
        </w:rPr>
        <w:t>BFF MDI 160/</w:t>
      </w:r>
      <w:r w:rsidR="00A12768" w:rsidRPr="00240A8F">
        <w:rPr>
          <w:rFonts w:cs="Times New Roman"/>
          <w:b w:val="0"/>
          <w:szCs w:val="24"/>
        </w:rPr>
        <w:t>10 µg</w:t>
      </w:r>
      <w:r w:rsidR="006B5546" w:rsidRPr="00240A8F">
        <w:rPr>
          <w:rFonts w:cs="Times New Roman"/>
          <w:b w:val="0"/>
          <w:szCs w:val="24"/>
        </w:rPr>
        <w:t xml:space="preserve">, </w:t>
      </w:r>
      <w:r w:rsidR="00384BAC" w:rsidRPr="00240A8F">
        <w:rPr>
          <w:rFonts w:cs="Times New Roman"/>
          <w:b w:val="0"/>
          <w:szCs w:val="24"/>
        </w:rPr>
        <w:t>n</w:t>
      </w:r>
      <w:r w:rsidR="00E860B7" w:rsidRPr="00240A8F">
        <w:rPr>
          <w:rFonts w:cs="Times New Roman"/>
          <w:b w:val="0"/>
          <w:szCs w:val="24"/>
        </w:rPr>
        <w:t>=</w:t>
      </w:r>
      <w:r w:rsidR="006B5546" w:rsidRPr="00240A8F">
        <w:rPr>
          <w:rFonts w:cs="Times New Roman"/>
          <w:b w:val="0"/>
          <w:szCs w:val="24"/>
        </w:rPr>
        <w:t xml:space="preserve">1; FF MDI, </w:t>
      </w:r>
      <w:r w:rsidR="00384BAC" w:rsidRPr="00240A8F">
        <w:rPr>
          <w:rFonts w:cs="Times New Roman"/>
          <w:b w:val="0"/>
          <w:szCs w:val="24"/>
        </w:rPr>
        <w:t>n</w:t>
      </w:r>
      <w:r w:rsidR="00E860B7" w:rsidRPr="00240A8F">
        <w:rPr>
          <w:rFonts w:cs="Times New Roman"/>
          <w:b w:val="0"/>
          <w:szCs w:val="24"/>
        </w:rPr>
        <w:t>=</w:t>
      </w:r>
      <w:r w:rsidR="006B5546" w:rsidRPr="00240A8F">
        <w:rPr>
          <w:rFonts w:cs="Times New Roman"/>
          <w:b w:val="0"/>
          <w:szCs w:val="24"/>
        </w:rPr>
        <w:t>4</w:t>
      </w:r>
      <w:r w:rsidR="006B5546" w:rsidRPr="00240A8F">
        <w:rPr>
          <w:rFonts w:cs="Times New Roman"/>
          <w:b w:val="0"/>
        </w:rPr>
        <w:t>)</w:t>
      </w:r>
      <w:r w:rsidR="003C0EF4" w:rsidRPr="00240A8F">
        <w:rPr>
          <w:rFonts w:cs="Times New Roman"/>
          <w:b w:val="0"/>
          <w:szCs w:val="24"/>
        </w:rPr>
        <w:t>.</w:t>
      </w:r>
      <w:r w:rsidR="002F62BB" w:rsidRPr="00240A8F">
        <w:rPr>
          <w:rFonts w:cs="Times New Roman"/>
          <w:b w:val="0"/>
          <w:szCs w:val="24"/>
        </w:rPr>
        <w:t xml:space="preserve"> </w:t>
      </w:r>
      <w:r w:rsidR="00B11842" w:rsidRPr="00240A8F">
        <w:rPr>
          <w:rFonts w:cs="Times New Roman"/>
          <w:b w:val="0"/>
          <w:szCs w:val="24"/>
        </w:rPr>
        <w:t xml:space="preserve">No deaths were considered </w:t>
      </w:r>
      <w:r w:rsidR="002F62BB" w:rsidRPr="00240A8F">
        <w:rPr>
          <w:rFonts w:cs="Times New Roman"/>
          <w:b w:val="0"/>
          <w:szCs w:val="24"/>
        </w:rPr>
        <w:t>drug-related.</w:t>
      </w:r>
    </w:p>
    <w:p w14:paraId="7C79FEA9" w14:textId="17FDC0D1" w:rsidR="00156340" w:rsidRPr="009D5002" w:rsidRDefault="00156340" w:rsidP="000D53BB">
      <w:pPr>
        <w:pStyle w:val="Heading2"/>
        <w:rPr>
          <w:i/>
        </w:rPr>
      </w:pPr>
      <w:r w:rsidRPr="00240A8F">
        <w:rPr>
          <w:i/>
        </w:rPr>
        <w:t>Post-hoc analyses</w:t>
      </w:r>
      <w:r w:rsidR="004D5CF6" w:rsidRPr="00240A8F">
        <w:rPr>
          <w:i/>
        </w:rPr>
        <w:t xml:space="preserve"> to assess </w:t>
      </w:r>
      <w:r w:rsidR="004D5CF6" w:rsidRPr="009D5002">
        <w:rPr>
          <w:i/>
        </w:rPr>
        <w:t>acute ICS withdrawal effect</w:t>
      </w:r>
    </w:p>
    <w:p w14:paraId="7884DF52" w14:textId="5F300721" w:rsidR="00156340" w:rsidRPr="009D5002" w:rsidRDefault="00E55091" w:rsidP="00692414">
      <w:pPr>
        <w:spacing w:line="480" w:lineRule="auto"/>
        <w:rPr>
          <w:rFonts w:cs="Times New Roman"/>
          <w:b w:val="0"/>
          <w:szCs w:val="24"/>
        </w:rPr>
      </w:pPr>
      <w:r w:rsidRPr="009D5002">
        <w:rPr>
          <w:rFonts w:cs="Times New Roman"/>
          <w:b w:val="0"/>
          <w:szCs w:val="24"/>
        </w:rPr>
        <w:t>Since</w:t>
      </w:r>
      <w:r w:rsidR="001B58A3" w:rsidRPr="009D5002">
        <w:rPr>
          <w:rFonts w:cs="Times New Roman"/>
          <w:b w:val="0"/>
          <w:szCs w:val="24"/>
        </w:rPr>
        <w:t xml:space="preserve"> a</w:t>
      </w:r>
      <w:r w:rsidR="001A3145" w:rsidRPr="009D5002">
        <w:rPr>
          <w:rFonts w:cs="Times New Roman"/>
          <w:b w:val="0"/>
          <w:szCs w:val="24"/>
        </w:rPr>
        <w:t xml:space="preserve">cute ICS withdrawal has </w:t>
      </w:r>
      <w:r w:rsidRPr="009D5002">
        <w:rPr>
          <w:rFonts w:cs="Times New Roman"/>
          <w:b w:val="0"/>
          <w:szCs w:val="24"/>
        </w:rPr>
        <w:t xml:space="preserve">previously </w:t>
      </w:r>
      <w:r w:rsidR="001A3145" w:rsidRPr="009D5002">
        <w:rPr>
          <w:rFonts w:cs="Times New Roman"/>
          <w:b w:val="0"/>
          <w:szCs w:val="24"/>
        </w:rPr>
        <w:t>been associated with an increase in exacerbation rates</w:t>
      </w:r>
      <w:r w:rsidR="001B58A3" w:rsidRPr="009D5002">
        <w:rPr>
          <w:rFonts w:cs="Times New Roman"/>
          <w:b w:val="0"/>
          <w:szCs w:val="24"/>
        </w:rPr>
        <w:t xml:space="preserve">, </w:t>
      </w:r>
      <w:r w:rsidR="001A3145" w:rsidRPr="009D5002">
        <w:rPr>
          <w:rFonts w:cs="Times New Roman"/>
          <w:b w:val="0"/>
          <w:szCs w:val="24"/>
        </w:rPr>
        <w:t xml:space="preserve">post-hoc analyses </w:t>
      </w:r>
      <w:r w:rsidRPr="009D5002">
        <w:rPr>
          <w:rFonts w:cs="Times New Roman"/>
          <w:b w:val="0"/>
          <w:szCs w:val="24"/>
        </w:rPr>
        <w:t xml:space="preserve">were performed </w:t>
      </w:r>
      <w:r w:rsidR="001A3145" w:rsidRPr="009D5002">
        <w:rPr>
          <w:rFonts w:cs="Times New Roman"/>
          <w:b w:val="0"/>
          <w:szCs w:val="24"/>
        </w:rPr>
        <w:t xml:space="preserve">to investigate the </w:t>
      </w:r>
      <w:r w:rsidR="00F272C5" w:rsidRPr="009D5002">
        <w:rPr>
          <w:rFonts w:cs="Times New Roman"/>
          <w:b w:val="0"/>
          <w:szCs w:val="24"/>
        </w:rPr>
        <w:t xml:space="preserve">rate of moderate/severe exacerbations according to ICS use at baseline. </w:t>
      </w:r>
      <w:r w:rsidRPr="009D5002">
        <w:rPr>
          <w:rFonts w:cs="Times New Roman"/>
          <w:b w:val="0"/>
          <w:szCs w:val="24"/>
        </w:rPr>
        <w:t xml:space="preserve">The benefit of BFF MDI </w:t>
      </w:r>
      <w:r w:rsidRPr="009D5002">
        <w:rPr>
          <w:rFonts w:cs="Times New Roman"/>
          <w:b w:val="0"/>
          <w:i/>
          <w:szCs w:val="24"/>
        </w:rPr>
        <w:t>versus</w:t>
      </w:r>
      <w:r w:rsidRPr="009D5002">
        <w:rPr>
          <w:rFonts w:cs="Times New Roman"/>
          <w:b w:val="0"/>
          <w:szCs w:val="24"/>
        </w:rPr>
        <w:t xml:space="preserve"> FF MDI on the rate of moderate/severe exacerbations was clearly demonstrated i</w:t>
      </w:r>
      <w:r w:rsidR="00F272C5" w:rsidRPr="009D5002">
        <w:rPr>
          <w:rFonts w:cs="Times New Roman"/>
          <w:b w:val="0"/>
          <w:szCs w:val="24"/>
        </w:rPr>
        <w:t>n both patients who were taking an ICS prior to study entry and</w:t>
      </w:r>
      <w:r w:rsidRPr="009D5002">
        <w:rPr>
          <w:rFonts w:cs="Times New Roman"/>
          <w:b w:val="0"/>
          <w:szCs w:val="24"/>
        </w:rPr>
        <w:t xml:space="preserve"> patients who were not taking an ICS prior to study entry (table E3</w:t>
      </w:r>
      <w:r w:rsidR="00F272C5" w:rsidRPr="009D5002">
        <w:rPr>
          <w:rFonts w:cs="Times New Roman"/>
          <w:b w:val="0"/>
          <w:szCs w:val="24"/>
        </w:rPr>
        <w:t xml:space="preserve">). </w:t>
      </w:r>
    </w:p>
    <w:p w14:paraId="37616242" w14:textId="77777777" w:rsidR="00FE4F3A" w:rsidRDefault="004D5CF6" w:rsidP="00692414">
      <w:pPr>
        <w:spacing w:line="480" w:lineRule="auto"/>
        <w:rPr>
          <w:rFonts w:cs="Times New Roman"/>
          <w:b w:val="0"/>
          <w:szCs w:val="24"/>
        </w:rPr>
      </w:pPr>
      <w:r w:rsidRPr="009D5002">
        <w:rPr>
          <w:rFonts w:cs="Times New Roman"/>
          <w:b w:val="0"/>
          <w:szCs w:val="24"/>
        </w:rPr>
        <w:t xml:space="preserve">The </w:t>
      </w:r>
      <w:r w:rsidR="007E33DB" w:rsidRPr="009D5002">
        <w:rPr>
          <w:rFonts w:cs="Times New Roman"/>
          <w:b w:val="0"/>
          <w:szCs w:val="24"/>
        </w:rPr>
        <w:t xml:space="preserve">annualised </w:t>
      </w:r>
      <w:r w:rsidR="007C24C1" w:rsidRPr="009D5002">
        <w:rPr>
          <w:rFonts w:cs="Times New Roman"/>
          <w:b w:val="0"/>
          <w:szCs w:val="24"/>
        </w:rPr>
        <w:t>rate of exacerbation</w:t>
      </w:r>
      <w:r w:rsidR="00E55091" w:rsidRPr="009D5002">
        <w:rPr>
          <w:rFonts w:cs="Times New Roman"/>
          <w:b w:val="0"/>
          <w:szCs w:val="24"/>
        </w:rPr>
        <w:t>s</w:t>
      </w:r>
      <w:r w:rsidR="007C24C1" w:rsidRPr="009D5002">
        <w:rPr>
          <w:rFonts w:cs="Times New Roman"/>
          <w:b w:val="0"/>
          <w:szCs w:val="24"/>
        </w:rPr>
        <w:t xml:space="preserve"> was estimated </w:t>
      </w:r>
      <w:r w:rsidR="0053302D" w:rsidRPr="009D5002">
        <w:rPr>
          <w:rFonts w:cs="Times New Roman"/>
          <w:b w:val="0"/>
          <w:szCs w:val="24"/>
        </w:rPr>
        <w:t xml:space="preserve">via </w:t>
      </w:r>
      <w:r w:rsidR="0090583A" w:rsidRPr="009D5002">
        <w:rPr>
          <w:rFonts w:cs="Times New Roman"/>
          <w:b w:val="0"/>
          <w:szCs w:val="24"/>
        </w:rPr>
        <w:t>GEE</w:t>
      </w:r>
      <w:r w:rsidRPr="009D5002">
        <w:rPr>
          <w:rFonts w:cs="Times New Roman"/>
          <w:b w:val="0"/>
          <w:szCs w:val="24"/>
        </w:rPr>
        <w:t xml:space="preserve"> modelling </w:t>
      </w:r>
      <w:r w:rsidR="007C24C1" w:rsidRPr="009D5002">
        <w:rPr>
          <w:rFonts w:cs="Times New Roman"/>
          <w:b w:val="0"/>
          <w:szCs w:val="24"/>
        </w:rPr>
        <w:t>for each 4-week period by treatment</w:t>
      </w:r>
      <w:r w:rsidR="001A3145" w:rsidRPr="009D5002">
        <w:rPr>
          <w:rFonts w:cs="Times New Roman"/>
          <w:b w:val="0"/>
          <w:szCs w:val="24"/>
        </w:rPr>
        <w:t xml:space="preserve"> (f</w:t>
      </w:r>
      <w:r w:rsidRPr="009D5002">
        <w:rPr>
          <w:rFonts w:cs="Times New Roman"/>
          <w:b w:val="0"/>
          <w:szCs w:val="24"/>
        </w:rPr>
        <w:t>igure E6). The analysis showed that</w:t>
      </w:r>
      <w:r w:rsidR="007C24C1" w:rsidRPr="009D5002">
        <w:rPr>
          <w:rFonts w:cs="Times New Roman"/>
          <w:b w:val="0"/>
          <w:szCs w:val="24"/>
        </w:rPr>
        <w:t xml:space="preserve"> there was some overlap</w:t>
      </w:r>
      <w:r w:rsidR="007C24C1" w:rsidRPr="00240A8F">
        <w:rPr>
          <w:rFonts w:cs="Times New Roman"/>
          <w:b w:val="0"/>
          <w:szCs w:val="24"/>
        </w:rPr>
        <w:t xml:space="preserve"> for 3 months during the mid-</w:t>
      </w:r>
      <w:r w:rsidR="0053302D" w:rsidRPr="00240A8F">
        <w:rPr>
          <w:rFonts w:cs="Times New Roman"/>
          <w:b w:val="0"/>
          <w:szCs w:val="24"/>
        </w:rPr>
        <w:t xml:space="preserve">portion of the </w:t>
      </w:r>
      <w:r w:rsidR="007C24C1" w:rsidRPr="00240A8F">
        <w:rPr>
          <w:rFonts w:cs="Times New Roman"/>
          <w:b w:val="0"/>
          <w:szCs w:val="24"/>
        </w:rPr>
        <w:t xml:space="preserve">exposure period. </w:t>
      </w:r>
      <w:r w:rsidR="004F6BB1">
        <w:rPr>
          <w:rFonts w:cs="Times New Roman"/>
          <w:b w:val="0"/>
          <w:szCs w:val="24"/>
        </w:rPr>
        <w:t xml:space="preserve">However, both doses of BFF MDI </w:t>
      </w:r>
      <w:r w:rsidR="007C24C1" w:rsidRPr="00240A8F">
        <w:rPr>
          <w:rFonts w:cs="Times New Roman"/>
          <w:b w:val="0"/>
          <w:szCs w:val="24"/>
        </w:rPr>
        <w:lastRenderedPageBreak/>
        <w:t>separated from FF MDI during the first 4 months and last 5 months of treatment, a pattern inconsistent with an acute ICS withdrawal effect.</w:t>
      </w:r>
    </w:p>
    <w:p w14:paraId="55BD11B7" w14:textId="77777777" w:rsidR="00FE4F3A" w:rsidRDefault="00FE4F3A" w:rsidP="00FE4F3A">
      <w:pPr>
        <w:pStyle w:val="Heading1"/>
      </w:pPr>
      <w:r>
        <w:t>References</w:t>
      </w:r>
    </w:p>
    <w:p w14:paraId="15FCE2CD" w14:textId="05AC34CE" w:rsidR="00DB7DF4" w:rsidRPr="003B4E19" w:rsidRDefault="00DB7DF4" w:rsidP="00DB7DF4">
      <w:pPr>
        <w:pStyle w:val="EndNoteBibliography"/>
      </w:pPr>
      <w:r>
        <w:t>1</w:t>
      </w:r>
      <w:r w:rsidRPr="003B4E19">
        <w:t>.</w:t>
      </w:r>
      <w:r w:rsidRPr="003B4E19">
        <w:tab/>
        <w:t xml:space="preserve">Jones PW, Chen WH, Wilcox TK, Sethi S, Leidy NK. Characterizing and quantifying the symptomatic features of COPD exacerbations. </w:t>
      </w:r>
      <w:r w:rsidRPr="003B4E19">
        <w:rPr>
          <w:i/>
        </w:rPr>
        <w:t xml:space="preserve">Chest </w:t>
      </w:r>
      <w:r w:rsidRPr="003B4E19">
        <w:t>2011; 139: 1388-1394.</w:t>
      </w:r>
    </w:p>
    <w:p w14:paraId="2195849A" w14:textId="553A20D6" w:rsidR="00DB7DF4" w:rsidRPr="003B4E19" w:rsidRDefault="00DB7DF4" w:rsidP="00DB7DF4">
      <w:pPr>
        <w:pStyle w:val="EndNoteBibliography"/>
      </w:pPr>
      <w:r>
        <w:t>2</w:t>
      </w:r>
      <w:r w:rsidRPr="003B4E19">
        <w:t>.</w:t>
      </w:r>
      <w:r w:rsidRPr="003B4E19">
        <w:tab/>
        <w:t xml:space="preserve">Witek TJ, Jr., Mahler DA. Minimal important difference of the transition dyspnoea index in a multinational clinical trial. </w:t>
      </w:r>
      <w:r w:rsidRPr="003B4E19">
        <w:rPr>
          <w:i/>
        </w:rPr>
        <w:t xml:space="preserve">Eur Respir J </w:t>
      </w:r>
      <w:r w:rsidRPr="003B4E19">
        <w:t>2003; 21: 267-272.</w:t>
      </w:r>
    </w:p>
    <w:p w14:paraId="4D48885E" w14:textId="026AC966" w:rsidR="007229CD" w:rsidRPr="00240A8F" w:rsidRDefault="007229CD" w:rsidP="00FE4F3A">
      <w:pPr>
        <w:pStyle w:val="Heading1"/>
        <w:rPr>
          <w:highlight w:val="cyan"/>
        </w:rPr>
      </w:pPr>
      <w:r w:rsidRPr="00240A8F">
        <w:rPr>
          <w:highlight w:val="cyan"/>
        </w:rPr>
        <w:br w:type="page"/>
      </w:r>
    </w:p>
    <w:p w14:paraId="72A44EEB" w14:textId="77777777" w:rsidR="007924B4" w:rsidRPr="00240A8F" w:rsidRDefault="00F42B78" w:rsidP="007924B4">
      <w:pPr>
        <w:spacing w:after="160" w:line="360" w:lineRule="auto"/>
        <w:rPr>
          <w:rFonts w:cs="Times New Roman"/>
          <w:szCs w:val="24"/>
        </w:rPr>
      </w:pPr>
      <w:r w:rsidRPr="00240A8F">
        <w:rPr>
          <w:rFonts w:cs="Times New Roman"/>
          <w:szCs w:val="24"/>
        </w:rPr>
        <w:lastRenderedPageBreak/>
        <w:t xml:space="preserve">TABLE E1 </w:t>
      </w:r>
      <w:r w:rsidR="007924B4" w:rsidRPr="00240A8F">
        <w:rPr>
          <w:rFonts w:cs="Times New Roman"/>
          <w:b w:val="0"/>
          <w:szCs w:val="24"/>
        </w:rPr>
        <w:t xml:space="preserve">Percentage of patients with a first confirmed </w:t>
      </w:r>
      <w:r w:rsidR="00C80EC6" w:rsidRPr="00240A8F">
        <w:rPr>
          <w:rFonts w:cs="Times New Roman"/>
          <w:b w:val="0"/>
          <w:szCs w:val="24"/>
        </w:rPr>
        <w:t>pneumonia event at w</w:t>
      </w:r>
      <w:r w:rsidRPr="00240A8F">
        <w:rPr>
          <w:rFonts w:cs="Times New Roman"/>
          <w:b w:val="0"/>
          <w:szCs w:val="24"/>
        </w:rPr>
        <w:t>eeks 12, 24 and 52 (s</w:t>
      </w:r>
      <w:r w:rsidR="007924B4" w:rsidRPr="00240A8F">
        <w:rPr>
          <w:rFonts w:cs="Times New Roman"/>
          <w:b w:val="0"/>
          <w:szCs w:val="24"/>
        </w:rPr>
        <w:t>afety population)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556"/>
        <w:gridCol w:w="1557"/>
        <w:gridCol w:w="1557"/>
      </w:tblGrid>
      <w:tr w:rsidR="007924B4" w:rsidRPr="00240A8F" w14:paraId="394F9F01" w14:textId="77777777" w:rsidTr="00F51834">
        <w:tc>
          <w:tcPr>
            <w:tcW w:w="4390" w:type="dxa"/>
            <w:tcBorders>
              <w:top w:val="single" w:sz="12" w:space="0" w:color="auto"/>
              <w:bottom w:val="single" w:sz="12" w:space="0" w:color="auto"/>
            </w:tcBorders>
          </w:tcPr>
          <w:p w14:paraId="2474863C" w14:textId="77777777" w:rsidR="007924B4" w:rsidRPr="00240A8F" w:rsidRDefault="007924B4" w:rsidP="00F51834">
            <w:pPr>
              <w:rPr>
                <w:rFonts w:cs="Times New Roman"/>
                <w:b w:val="0"/>
                <w:sz w:val="22"/>
                <w:szCs w:val="22"/>
              </w:rPr>
            </w:pPr>
          </w:p>
        </w:tc>
        <w:tc>
          <w:tcPr>
            <w:tcW w:w="1556" w:type="dxa"/>
            <w:tcBorders>
              <w:top w:val="single" w:sz="12" w:space="0" w:color="auto"/>
              <w:bottom w:val="single" w:sz="12" w:space="0" w:color="auto"/>
            </w:tcBorders>
          </w:tcPr>
          <w:p w14:paraId="254E5ED3" w14:textId="77777777" w:rsidR="007924B4" w:rsidRPr="00240A8F" w:rsidRDefault="007924B4" w:rsidP="00F51834">
            <w:pPr>
              <w:spacing w:after="0"/>
              <w:jc w:val="center"/>
              <w:rPr>
                <w:rFonts w:cs="Times New Roman"/>
                <w:sz w:val="22"/>
                <w:szCs w:val="22"/>
              </w:rPr>
            </w:pPr>
            <w:r w:rsidRPr="00240A8F">
              <w:rPr>
                <w:rFonts w:cs="Times New Roman"/>
                <w:sz w:val="22"/>
                <w:szCs w:val="22"/>
              </w:rPr>
              <w:t>BFF MDI</w:t>
            </w:r>
          </w:p>
          <w:p w14:paraId="4A9892E1" w14:textId="77777777" w:rsidR="007924B4" w:rsidRPr="00240A8F" w:rsidRDefault="007924B4" w:rsidP="00F51834">
            <w:pPr>
              <w:spacing w:after="0"/>
              <w:jc w:val="center"/>
              <w:rPr>
                <w:rFonts w:cs="Times New Roman"/>
                <w:sz w:val="22"/>
                <w:szCs w:val="22"/>
              </w:rPr>
            </w:pPr>
            <w:r w:rsidRPr="00240A8F">
              <w:rPr>
                <w:rFonts w:cs="Times New Roman"/>
                <w:sz w:val="22"/>
                <w:szCs w:val="22"/>
              </w:rPr>
              <w:t>320/</w:t>
            </w:r>
            <w:r w:rsidR="00A12768" w:rsidRPr="00240A8F">
              <w:rPr>
                <w:rFonts w:cs="Times New Roman"/>
                <w:sz w:val="22"/>
                <w:szCs w:val="22"/>
              </w:rPr>
              <w:t>10 µg</w:t>
            </w:r>
          </w:p>
          <w:p w14:paraId="5A478D7D" w14:textId="77777777" w:rsidR="007924B4" w:rsidRPr="00240A8F" w:rsidRDefault="007924B4" w:rsidP="00F51834">
            <w:pPr>
              <w:spacing w:after="0"/>
              <w:jc w:val="center"/>
              <w:rPr>
                <w:rFonts w:cs="Times New Roman"/>
                <w:sz w:val="22"/>
                <w:szCs w:val="22"/>
              </w:rPr>
            </w:pPr>
            <w:r w:rsidRPr="00240A8F">
              <w:rPr>
                <w:rFonts w:cs="Times New Roman"/>
                <w:sz w:val="22"/>
                <w:szCs w:val="22"/>
              </w:rPr>
              <w:t>(N</w:t>
            </w:r>
            <w:r w:rsidR="00C80EC6" w:rsidRPr="00240A8F">
              <w:rPr>
                <w:rFonts w:cs="Times New Roman"/>
                <w:sz w:val="22"/>
                <w:szCs w:val="22"/>
              </w:rPr>
              <w:t>=</w:t>
            </w:r>
            <w:r w:rsidRPr="00240A8F">
              <w:rPr>
                <w:rFonts w:cs="Times New Roman"/>
                <w:sz w:val="22"/>
                <w:szCs w:val="22"/>
              </w:rPr>
              <w:t>619)</w:t>
            </w:r>
          </w:p>
        </w:tc>
        <w:tc>
          <w:tcPr>
            <w:tcW w:w="1557" w:type="dxa"/>
            <w:tcBorders>
              <w:top w:val="single" w:sz="12" w:space="0" w:color="auto"/>
              <w:bottom w:val="single" w:sz="12" w:space="0" w:color="auto"/>
            </w:tcBorders>
          </w:tcPr>
          <w:p w14:paraId="060BE6C1" w14:textId="77777777" w:rsidR="007924B4" w:rsidRPr="00240A8F" w:rsidRDefault="007924B4" w:rsidP="00F51834">
            <w:pPr>
              <w:spacing w:after="0"/>
              <w:jc w:val="center"/>
              <w:rPr>
                <w:rFonts w:cs="Times New Roman"/>
                <w:sz w:val="22"/>
                <w:szCs w:val="22"/>
              </w:rPr>
            </w:pPr>
            <w:r w:rsidRPr="00240A8F">
              <w:rPr>
                <w:rFonts w:cs="Times New Roman"/>
                <w:sz w:val="22"/>
                <w:szCs w:val="22"/>
              </w:rPr>
              <w:t>BFF MDI</w:t>
            </w:r>
          </w:p>
          <w:p w14:paraId="11A034A3" w14:textId="77777777" w:rsidR="007924B4" w:rsidRPr="00240A8F" w:rsidRDefault="007924B4" w:rsidP="00F51834">
            <w:pPr>
              <w:spacing w:after="0"/>
              <w:jc w:val="center"/>
              <w:rPr>
                <w:rFonts w:cs="Times New Roman"/>
                <w:sz w:val="22"/>
                <w:szCs w:val="22"/>
              </w:rPr>
            </w:pPr>
            <w:r w:rsidRPr="00240A8F">
              <w:rPr>
                <w:rFonts w:cs="Times New Roman"/>
                <w:sz w:val="22"/>
                <w:szCs w:val="22"/>
              </w:rPr>
              <w:t>160/</w:t>
            </w:r>
            <w:r w:rsidR="00A12768" w:rsidRPr="00240A8F">
              <w:rPr>
                <w:rFonts w:cs="Times New Roman"/>
                <w:sz w:val="22"/>
                <w:szCs w:val="22"/>
              </w:rPr>
              <w:t>10 µg</w:t>
            </w:r>
          </w:p>
          <w:p w14:paraId="4A0FFF5F" w14:textId="77777777" w:rsidR="007924B4" w:rsidRPr="00240A8F" w:rsidRDefault="007924B4" w:rsidP="00F51834">
            <w:pPr>
              <w:spacing w:after="0"/>
              <w:jc w:val="center"/>
              <w:rPr>
                <w:rFonts w:cs="Times New Roman"/>
                <w:sz w:val="22"/>
                <w:szCs w:val="22"/>
              </w:rPr>
            </w:pPr>
            <w:r w:rsidRPr="00240A8F">
              <w:rPr>
                <w:rFonts w:cs="Times New Roman"/>
                <w:sz w:val="22"/>
                <w:szCs w:val="22"/>
              </w:rPr>
              <w:t>(</w:t>
            </w:r>
            <w:r w:rsidR="00C80EC6" w:rsidRPr="00240A8F">
              <w:rPr>
                <w:rFonts w:cs="Times New Roman"/>
                <w:sz w:val="22"/>
                <w:szCs w:val="22"/>
              </w:rPr>
              <w:t>N=</w:t>
            </w:r>
            <w:r w:rsidRPr="00240A8F">
              <w:rPr>
                <w:rFonts w:cs="Times New Roman"/>
                <w:sz w:val="22"/>
                <w:szCs w:val="22"/>
              </w:rPr>
              <w:t>617)</w:t>
            </w:r>
          </w:p>
        </w:tc>
        <w:tc>
          <w:tcPr>
            <w:tcW w:w="1557" w:type="dxa"/>
            <w:tcBorders>
              <w:top w:val="single" w:sz="12" w:space="0" w:color="auto"/>
              <w:bottom w:val="single" w:sz="12" w:space="0" w:color="auto"/>
            </w:tcBorders>
          </w:tcPr>
          <w:p w14:paraId="62C4B527" w14:textId="77777777" w:rsidR="007924B4" w:rsidRPr="00240A8F" w:rsidRDefault="007924B4" w:rsidP="00F51834">
            <w:pPr>
              <w:spacing w:after="0"/>
              <w:jc w:val="center"/>
              <w:rPr>
                <w:rFonts w:cs="Times New Roman"/>
                <w:sz w:val="22"/>
                <w:szCs w:val="22"/>
              </w:rPr>
            </w:pPr>
            <w:r w:rsidRPr="00240A8F">
              <w:rPr>
                <w:rFonts w:cs="Times New Roman"/>
                <w:sz w:val="22"/>
                <w:szCs w:val="22"/>
              </w:rPr>
              <w:t>FF MDI</w:t>
            </w:r>
          </w:p>
          <w:p w14:paraId="2F668A9C" w14:textId="77777777" w:rsidR="007924B4" w:rsidRPr="00240A8F" w:rsidRDefault="00A12768" w:rsidP="00F51834">
            <w:pPr>
              <w:spacing w:after="0"/>
              <w:jc w:val="center"/>
              <w:rPr>
                <w:rFonts w:cs="Times New Roman"/>
                <w:sz w:val="22"/>
                <w:szCs w:val="22"/>
              </w:rPr>
            </w:pPr>
            <w:r w:rsidRPr="00240A8F">
              <w:rPr>
                <w:rFonts w:cs="Times New Roman"/>
                <w:sz w:val="22"/>
                <w:szCs w:val="22"/>
              </w:rPr>
              <w:t>10 µg</w:t>
            </w:r>
          </w:p>
          <w:p w14:paraId="0BE05CAA" w14:textId="77777777" w:rsidR="007924B4" w:rsidRPr="00240A8F" w:rsidRDefault="007924B4" w:rsidP="00F51834">
            <w:pPr>
              <w:spacing w:after="0"/>
              <w:jc w:val="center"/>
              <w:rPr>
                <w:rFonts w:cs="Times New Roman"/>
                <w:sz w:val="22"/>
                <w:szCs w:val="22"/>
              </w:rPr>
            </w:pPr>
            <w:r w:rsidRPr="00240A8F">
              <w:rPr>
                <w:rFonts w:cs="Times New Roman"/>
                <w:sz w:val="22"/>
                <w:szCs w:val="22"/>
              </w:rPr>
              <w:t>(N</w:t>
            </w:r>
            <w:r w:rsidR="00C80EC6" w:rsidRPr="00240A8F">
              <w:rPr>
                <w:rFonts w:cs="Times New Roman"/>
                <w:sz w:val="22"/>
                <w:szCs w:val="22"/>
              </w:rPr>
              <w:t>=</w:t>
            </w:r>
            <w:r w:rsidRPr="00240A8F">
              <w:rPr>
                <w:rFonts w:cs="Times New Roman"/>
                <w:sz w:val="22"/>
                <w:szCs w:val="22"/>
              </w:rPr>
              <w:t>607)</w:t>
            </w:r>
          </w:p>
        </w:tc>
      </w:tr>
      <w:tr w:rsidR="007924B4" w:rsidRPr="00240A8F" w14:paraId="0A1F015A" w14:textId="77777777" w:rsidTr="00F51834">
        <w:tc>
          <w:tcPr>
            <w:tcW w:w="4390" w:type="dxa"/>
            <w:tcBorders>
              <w:top w:val="single" w:sz="12" w:space="0" w:color="auto"/>
            </w:tcBorders>
          </w:tcPr>
          <w:p w14:paraId="3E93BA83" w14:textId="77777777" w:rsidR="007924B4" w:rsidRPr="00240A8F" w:rsidRDefault="007924B4" w:rsidP="00F51834">
            <w:pPr>
              <w:rPr>
                <w:rFonts w:cs="Times New Roman"/>
                <w:sz w:val="22"/>
                <w:szCs w:val="22"/>
              </w:rPr>
            </w:pPr>
            <w:r w:rsidRPr="00240A8F">
              <w:rPr>
                <w:rFonts w:cs="Times New Roman"/>
                <w:sz w:val="22"/>
                <w:szCs w:val="22"/>
              </w:rPr>
              <w:t xml:space="preserve">Patients with first confirmed pneumonia </w:t>
            </w:r>
            <w:r w:rsidRPr="00240A8F">
              <w:rPr>
                <w:rFonts w:cs="Times New Roman"/>
                <w:sz w:val="22"/>
                <w:szCs w:val="22"/>
              </w:rPr>
              <w:br/>
              <w:t>event, % (95% CI)</w:t>
            </w:r>
          </w:p>
        </w:tc>
        <w:tc>
          <w:tcPr>
            <w:tcW w:w="1556" w:type="dxa"/>
            <w:tcBorders>
              <w:top w:val="single" w:sz="12" w:space="0" w:color="auto"/>
            </w:tcBorders>
            <w:vAlign w:val="center"/>
          </w:tcPr>
          <w:p w14:paraId="44670290" w14:textId="77777777" w:rsidR="007924B4" w:rsidRPr="00240A8F" w:rsidRDefault="007924B4" w:rsidP="00F51834">
            <w:pPr>
              <w:jc w:val="center"/>
              <w:rPr>
                <w:rFonts w:cs="Times New Roman"/>
                <w:b w:val="0"/>
                <w:sz w:val="22"/>
                <w:szCs w:val="22"/>
              </w:rPr>
            </w:pPr>
          </w:p>
        </w:tc>
        <w:tc>
          <w:tcPr>
            <w:tcW w:w="1557" w:type="dxa"/>
            <w:tcBorders>
              <w:top w:val="single" w:sz="12" w:space="0" w:color="auto"/>
            </w:tcBorders>
            <w:vAlign w:val="center"/>
          </w:tcPr>
          <w:p w14:paraId="3EDA3963" w14:textId="77777777" w:rsidR="007924B4" w:rsidRPr="00240A8F" w:rsidRDefault="007924B4" w:rsidP="00F51834">
            <w:pPr>
              <w:jc w:val="center"/>
              <w:rPr>
                <w:rFonts w:cs="Times New Roman"/>
                <w:b w:val="0"/>
                <w:sz w:val="22"/>
                <w:szCs w:val="22"/>
              </w:rPr>
            </w:pPr>
          </w:p>
        </w:tc>
        <w:tc>
          <w:tcPr>
            <w:tcW w:w="1557" w:type="dxa"/>
            <w:tcBorders>
              <w:top w:val="single" w:sz="12" w:space="0" w:color="auto"/>
            </w:tcBorders>
            <w:vAlign w:val="center"/>
          </w:tcPr>
          <w:p w14:paraId="54D85418" w14:textId="77777777" w:rsidR="007924B4" w:rsidRPr="00240A8F" w:rsidRDefault="007924B4" w:rsidP="00F51834">
            <w:pPr>
              <w:jc w:val="center"/>
              <w:rPr>
                <w:rFonts w:cs="Times New Roman"/>
                <w:b w:val="0"/>
                <w:sz w:val="22"/>
                <w:szCs w:val="22"/>
              </w:rPr>
            </w:pPr>
          </w:p>
        </w:tc>
      </w:tr>
      <w:tr w:rsidR="007924B4" w:rsidRPr="00240A8F" w14:paraId="16CEDDEC" w14:textId="77777777" w:rsidTr="00F51834">
        <w:tc>
          <w:tcPr>
            <w:tcW w:w="4390" w:type="dxa"/>
          </w:tcPr>
          <w:p w14:paraId="62838AFF" w14:textId="77777777" w:rsidR="007924B4" w:rsidRPr="00240A8F" w:rsidRDefault="007924B4" w:rsidP="00F51834">
            <w:pPr>
              <w:ind w:left="720"/>
              <w:rPr>
                <w:rFonts w:cs="Times New Roman"/>
                <w:b w:val="0"/>
                <w:sz w:val="22"/>
                <w:szCs w:val="22"/>
              </w:rPr>
            </w:pPr>
            <w:r w:rsidRPr="00240A8F">
              <w:rPr>
                <w:rFonts w:cs="Times New Roman"/>
                <w:b w:val="0"/>
                <w:sz w:val="22"/>
                <w:szCs w:val="22"/>
              </w:rPr>
              <w:t>Week 12</w:t>
            </w:r>
          </w:p>
        </w:tc>
        <w:tc>
          <w:tcPr>
            <w:tcW w:w="1556" w:type="dxa"/>
            <w:vAlign w:val="center"/>
          </w:tcPr>
          <w:p w14:paraId="6B784668" w14:textId="1013CFA0" w:rsidR="007924B4" w:rsidRPr="00240A8F" w:rsidRDefault="007924B4" w:rsidP="007E33DB">
            <w:pPr>
              <w:jc w:val="center"/>
              <w:rPr>
                <w:rFonts w:cs="Times New Roman"/>
                <w:b w:val="0"/>
                <w:sz w:val="22"/>
                <w:szCs w:val="22"/>
              </w:rPr>
            </w:pPr>
            <w:r w:rsidRPr="00240A8F">
              <w:rPr>
                <w:rFonts w:cs="Times New Roman"/>
                <w:b w:val="0"/>
                <w:sz w:val="22"/>
                <w:szCs w:val="22"/>
              </w:rPr>
              <w:t>0.3 (0.1, 1.4)</w:t>
            </w:r>
          </w:p>
        </w:tc>
        <w:tc>
          <w:tcPr>
            <w:tcW w:w="1557" w:type="dxa"/>
            <w:vAlign w:val="center"/>
          </w:tcPr>
          <w:p w14:paraId="0031E198" w14:textId="6310DDC0" w:rsidR="007924B4" w:rsidRPr="00240A8F" w:rsidRDefault="007924B4" w:rsidP="00F51834">
            <w:pPr>
              <w:jc w:val="center"/>
              <w:rPr>
                <w:rFonts w:cs="Times New Roman"/>
                <w:b w:val="0"/>
                <w:sz w:val="22"/>
                <w:szCs w:val="22"/>
              </w:rPr>
            </w:pPr>
            <w:r w:rsidRPr="00240A8F">
              <w:rPr>
                <w:rFonts w:cs="Times New Roman"/>
                <w:b w:val="0"/>
                <w:sz w:val="22"/>
                <w:szCs w:val="22"/>
              </w:rPr>
              <w:t>0.9 (0.4, 2.1)</w:t>
            </w:r>
          </w:p>
        </w:tc>
        <w:tc>
          <w:tcPr>
            <w:tcW w:w="1557" w:type="dxa"/>
            <w:vAlign w:val="center"/>
          </w:tcPr>
          <w:p w14:paraId="14A84795" w14:textId="19180A89" w:rsidR="007924B4" w:rsidRPr="00240A8F" w:rsidRDefault="007924B4" w:rsidP="00F51834">
            <w:pPr>
              <w:jc w:val="center"/>
              <w:rPr>
                <w:rFonts w:cs="Times New Roman"/>
                <w:b w:val="0"/>
                <w:sz w:val="22"/>
                <w:szCs w:val="22"/>
              </w:rPr>
            </w:pPr>
            <w:r w:rsidRPr="00240A8F">
              <w:rPr>
                <w:rFonts w:cs="Times New Roman"/>
                <w:b w:val="0"/>
                <w:sz w:val="22"/>
                <w:szCs w:val="22"/>
              </w:rPr>
              <w:t>1.1 (0.5, 2.3)</w:t>
            </w:r>
          </w:p>
        </w:tc>
      </w:tr>
      <w:tr w:rsidR="007924B4" w:rsidRPr="00240A8F" w14:paraId="49244258" w14:textId="77777777" w:rsidTr="00F51834">
        <w:tc>
          <w:tcPr>
            <w:tcW w:w="4390" w:type="dxa"/>
          </w:tcPr>
          <w:p w14:paraId="192470D3" w14:textId="77777777" w:rsidR="007924B4" w:rsidRPr="00240A8F" w:rsidRDefault="007924B4" w:rsidP="00F51834">
            <w:pPr>
              <w:ind w:left="720"/>
              <w:rPr>
                <w:rFonts w:cs="Times New Roman"/>
                <w:b w:val="0"/>
                <w:sz w:val="22"/>
                <w:szCs w:val="22"/>
              </w:rPr>
            </w:pPr>
            <w:r w:rsidRPr="00240A8F">
              <w:rPr>
                <w:rFonts w:cs="Times New Roman"/>
                <w:b w:val="0"/>
                <w:sz w:val="22"/>
                <w:szCs w:val="22"/>
              </w:rPr>
              <w:t>Week 24</w:t>
            </w:r>
          </w:p>
        </w:tc>
        <w:tc>
          <w:tcPr>
            <w:tcW w:w="1556" w:type="dxa"/>
            <w:vAlign w:val="center"/>
          </w:tcPr>
          <w:p w14:paraId="2608FC44" w14:textId="4A58DFF1" w:rsidR="007924B4" w:rsidRPr="00240A8F" w:rsidRDefault="007924B4" w:rsidP="00F51834">
            <w:pPr>
              <w:jc w:val="center"/>
              <w:rPr>
                <w:rFonts w:cs="Times New Roman"/>
                <w:b w:val="0"/>
                <w:sz w:val="22"/>
                <w:szCs w:val="22"/>
              </w:rPr>
            </w:pPr>
            <w:r w:rsidRPr="00240A8F">
              <w:rPr>
                <w:rFonts w:cs="Times New Roman"/>
                <w:b w:val="0"/>
                <w:sz w:val="22"/>
                <w:szCs w:val="22"/>
              </w:rPr>
              <w:t>1.0 (0.4, 2.5)</w:t>
            </w:r>
          </w:p>
        </w:tc>
        <w:tc>
          <w:tcPr>
            <w:tcW w:w="1557" w:type="dxa"/>
            <w:vAlign w:val="center"/>
          </w:tcPr>
          <w:p w14:paraId="41C28FC8" w14:textId="4E9406E7" w:rsidR="007924B4" w:rsidRPr="00240A8F" w:rsidRDefault="007924B4" w:rsidP="00F51834">
            <w:pPr>
              <w:jc w:val="center"/>
              <w:rPr>
                <w:rFonts w:cs="Times New Roman"/>
                <w:b w:val="0"/>
                <w:sz w:val="22"/>
                <w:szCs w:val="22"/>
              </w:rPr>
            </w:pPr>
            <w:r w:rsidRPr="00240A8F">
              <w:rPr>
                <w:rFonts w:cs="Times New Roman"/>
                <w:b w:val="0"/>
                <w:sz w:val="22"/>
                <w:szCs w:val="22"/>
              </w:rPr>
              <w:t>1.6 (0.8, 3.2)</w:t>
            </w:r>
          </w:p>
        </w:tc>
        <w:tc>
          <w:tcPr>
            <w:tcW w:w="1557" w:type="dxa"/>
            <w:vAlign w:val="center"/>
          </w:tcPr>
          <w:p w14:paraId="6012B7DB" w14:textId="1FD9AA68" w:rsidR="007924B4" w:rsidRPr="00240A8F" w:rsidRDefault="007924B4" w:rsidP="00F51834">
            <w:pPr>
              <w:jc w:val="center"/>
              <w:rPr>
                <w:rFonts w:cs="Times New Roman"/>
                <w:b w:val="0"/>
                <w:sz w:val="22"/>
                <w:szCs w:val="22"/>
              </w:rPr>
            </w:pPr>
            <w:r w:rsidRPr="00240A8F">
              <w:rPr>
                <w:rFonts w:cs="Times New Roman"/>
                <w:b w:val="0"/>
                <w:sz w:val="22"/>
                <w:szCs w:val="22"/>
              </w:rPr>
              <w:t>1.7 (0.9, 3.3)</w:t>
            </w:r>
          </w:p>
        </w:tc>
      </w:tr>
      <w:tr w:rsidR="007924B4" w:rsidRPr="00240A8F" w14:paraId="1C59E58A" w14:textId="77777777" w:rsidTr="00F51834">
        <w:tc>
          <w:tcPr>
            <w:tcW w:w="4390" w:type="dxa"/>
            <w:tcBorders>
              <w:bottom w:val="single" w:sz="12" w:space="0" w:color="auto"/>
            </w:tcBorders>
          </w:tcPr>
          <w:p w14:paraId="0F12187E" w14:textId="77777777" w:rsidR="007924B4" w:rsidRPr="00240A8F" w:rsidRDefault="007924B4" w:rsidP="00F51834">
            <w:pPr>
              <w:ind w:left="720"/>
              <w:rPr>
                <w:rFonts w:cs="Times New Roman"/>
                <w:b w:val="0"/>
                <w:sz w:val="22"/>
                <w:szCs w:val="22"/>
              </w:rPr>
            </w:pPr>
            <w:r w:rsidRPr="00240A8F">
              <w:rPr>
                <w:rFonts w:cs="Times New Roman"/>
                <w:b w:val="0"/>
                <w:sz w:val="22"/>
                <w:szCs w:val="22"/>
              </w:rPr>
              <w:t>Week 52</w:t>
            </w:r>
          </w:p>
        </w:tc>
        <w:tc>
          <w:tcPr>
            <w:tcW w:w="1556" w:type="dxa"/>
            <w:tcBorders>
              <w:bottom w:val="single" w:sz="12" w:space="0" w:color="auto"/>
            </w:tcBorders>
            <w:vAlign w:val="center"/>
          </w:tcPr>
          <w:p w14:paraId="44424A2D" w14:textId="7C6B0D20" w:rsidR="007924B4" w:rsidRPr="00240A8F" w:rsidRDefault="007924B4" w:rsidP="00F51834">
            <w:pPr>
              <w:jc w:val="center"/>
              <w:rPr>
                <w:rFonts w:cs="Times New Roman"/>
                <w:b w:val="0"/>
                <w:sz w:val="22"/>
                <w:szCs w:val="22"/>
              </w:rPr>
            </w:pPr>
            <w:r w:rsidRPr="00240A8F">
              <w:rPr>
                <w:rFonts w:cs="Times New Roman"/>
                <w:b w:val="0"/>
                <w:sz w:val="22"/>
                <w:szCs w:val="22"/>
              </w:rPr>
              <w:t>3.7 (1.8, 7.5)</w:t>
            </w:r>
          </w:p>
        </w:tc>
        <w:tc>
          <w:tcPr>
            <w:tcW w:w="1557" w:type="dxa"/>
            <w:tcBorders>
              <w:bottom w:val="single" w:sz="12" w:space="0" w:color="auto"/>
            </w:tcBorders>
            <w:vAlign w:val="center"/>
          </w:tcPr>
          <w:p w14:paraId="3E24873A" w14:textId="31E3916B" w:rsidR="007924B4" w:rsidRPr="00240A8F" w:rsidRDefault="007924B4" w:rsidP="00F51834">
            <w:pPr>
              <w:jc w:val="center"/>
              <w:rPr>
                <w:rFonts w:cs="Times New Roman"/>
                <w:b w:val="0"/>
                <w:sz w:val="22"/>
                <w:szCs w:val="22"/>
              </w:rPr>
            </w:pPr>
            <w:r w:rsidRPr="00240A8F">
              <w:rPr>
                <w:rFonts w:cs="Times New Roman"/>
                <w:b w:val="0"/>
                <w:sz w:val="22"/>
                <w:szCs w:val="22"/>
              </w:rPr>
              <w:t>5.0 (2.6, 9.4)</w:t>
            </w:r>
          </w:p>
        </w:tc>
        <w:tc>
          <w:tcPr>
            <w:tcW w:w="1557" w:type="dxa"/>
            <w:tcBorders>
              <w:bottom w:val="single" w:sz="12" w:space="0" w:color="auto"/>
            </w:tcBorders>
            <w:vAlign w:val="center"/>
          </w:tcPr>
          <w:p w14:paraId="1A647E9C" w14:textId="024E750A" w:rsidR="007924B4" w:rsidRPr="00240A8F" w:rsidRDefault="007924B4" w:rsidP="00F51834">
            <w:pPr>
              <w:jc w:val="center"/>
              <w:rPr>
                <w:rFonts w:cs="Times New Roman"/>
                <w:b w:val="0"/>
                <w:sz w:val="22"/>
                <w:szCs w:val="22"/>
              </w:rPr>
            </w:pPr>
            <w:r w:rsidRPr="00240A8F">
              <w:rPr>
                <w:rFonts w:cs="Times New Roman"/>
                <w:b w:val="0"/>
                <w:sz w:val="22"/>
                <w:szCs w:val="22"/>
              </w:rPr>
              <w:t>3.8 (2.2, 6.7)</w:t>
            </w:r>
          </w:p>
        </w:tc>
      </w:tr>
    </w:tbl>
    <w:p w14:paraId="3FC7A1D2" w14:textId="77777777" w:rsidR="007924B4" w:rsidRPr="00240A8F" w:rsidRDefault="00C80EC6" w:rsidP="007924B4">
      <w:pPr>
        <w:spacing w:before="240" w:after="0" w:line="360" w:lineRule="auto"/>
        <w:rPr>
          <w:rFonts w:cs="Times New Roman"/>
          <w:b w:val="0"/>
          <w:sz w:val="20"/>
        </w:rPr>
      </w:pPr>
      <w:r w:rsidRPr="00240A8F">
        <w:rPr>
          <w:rFonts w:cs="Times New Roman"/>
          <w:b w:val="0"/>
          <w:sz w:val="20"/>
        </w:rPr>
        <w:t>BFF:</w:t>
      </w:r>
      <w:r w:rsidR="007924B4" w:rsidRPr="00240A8F">
        <w:rPr>
          <w:rFonts w:cs="Times New Roman"/>
          <w:b w:val="0"/>
          <w:sz w:val="20"/>
        </w:rPr>
        <w:t xml:space="preserve"> bude</w:t>
      </w:r>
      <w:r w:rsidRPr="00240A8F">
        <w:rPr>
          <w:rFonts w:cs="Times New Roman"/>
          <w:b w:val="0"/>
          <w:sz w:val="20"/>
        </w:rPr>
        <w:t>sonide/formoterol fumarate</w:t>
      </w:r>
      <w:r w:rsidR="00911B73" w:rsidRPr="00240A8F">
        <w:rPr>
          <w:rFonts w:cs="Times New Roman"/>
          <w:b w:val="0"/>
          <w:sz w:val="20"/>
        </w:rPr>
        <w:t xml:space="preserve"> dihydrate</w:t>
      </w:r>
      <w:r w:rsidRPr="00240A8F">
        <w:rPr>
          <w:rFonts w:cs="Times New Roman"/>
          <w:b w:val="0"/>
          <w:sz w:val="20"/>
        </w:rPr>
        <w:t>; CI:</w:t>
      </w:r>
      <w:r w:rsidR="007924B4" w:rsidRPr="00240A8F">
        <w:rPr>
          <w:rFonts w:cs="Times New Roman"/>
          <w:b w:val="0"/>
          <w:sz w:val="20"/>
        </w:rPr>
        <w:t xml:space="preserve"> confidence interval; FF</w:t>
      </w:r>
      <w:r w:rsidRPr="00240A8F">
        <w:rPr>
          <w:rFonts w:cs="Times New Roman"/>
          <w:b w:val="0"/>
          <w:sz w:val="20"/>
        </w:rPr>
        <w:t>: formoterol fumarate</w:t>
      </w:r>
      <w:r w:rsidR="00382B94" w:rsidRPr="00240A8F">
        <w:rPr>
          <w:rFonts w:cs="Times New Roman"/>
          <w:b w:val="0"/>
          <w:sz w:val="20"/>
        </w:rPr>
        <w:t xml:space="preserve"> dihydrate</w:t>
      </w:r>
      <w:r w:rsidRPr="00240A8F">
        <w:rPr>
          <w:rFonts w:cs="Times New Roman"/>
          <w:b w:val="0"/>
          <w:sz w:val="20"/>
        </w:rPr>
        <w:t>; MDI:</w:t>
      </w:r>
      <w:r w:rsidR="007924B4" w:rsidRPr="00240A8F">
        <w:rPr>
          <w:rFonts w:cs="Times New Roman"/>
          <w:b w:val="0"/>
          <w:sz w:val="20"/>
        </w:rPr>
        <w:t xml:space="preserve"> metered dose inhaler.</w:t>
      </w:r>
    </w:p>
    <w:p w14:paraId="6897C217" w14:textId="77777777" w:rsidR="007229CD" w:rsidRPr="00240A8F" w:rsidRDefault="007924B4" w:rsidP="007229CD">
      <w:pPr>
        <w:spacing w:after="0" w:line="360" w:lineRule="auto"/>
        <w:rPr>
          <w:rFonts w:cs="Times New Roman"/>
          <w:b w:val="0"/>
          <w:szCs w:val="24"/>
        </w:rPr>
      </w:pPr>
      <w:r w:rsidRPr="00240A8F">
        <w:rPr>
          <w:rFonts w:cs="Times New Roman"/>
          <w:szCs w:val="24"/>
        </w:rPr>
        <w:br w:type="column"/>
      </w:r>
      <w:r w:rsidR="00F42B78" w:rsidRPr="00240A8F">
        <w:rPr>
          <w:rFonts w:cs="Times New Roman"/>
          <w:szCs w:val="24"/>
        </w:rPr>
        <w:lastRenderedPageBreak/>
        <w:t>TABLE</w:t>
      </w:r>
      <w:r w:rsidR="007229CD" w:rsidRPr="00240A8F">
        <w:rPr>
          <w:rFonts w:cs="Times New Roman"/>
          <w:szCs w:val="24"/>
        </w:rPr>
        <w:t xml:space="preserve"> </w:t>
      </w:r>
      <w:r w:rsidR="007221B9" w:rsidRPr="00240A8F">
        <w:rPr>
          <w:rFonts w:cs="Times New Roman"/>
          <w:szCs w:val="24"/>
        </w:rPr>
        <w:t>E</w:t>
      </w:r>
      <w:r w:rsidRPr="00240A8F">
        <w:rPr>
          <w:rFonts w:cs="Times New Roman"/>
          <w:szCs w:val="24"/>
        </w:rPr>
        <w:t>2</w:t>
      </w:r>
      <w:r w:rsidR="007229CD" w:rsidRPr="00240A8F">
        <w:rPr>
          <w:rFonts w:cs="Times New Roman"/>
          <w:szCs w:val="24"/>
        </w:rPr>
        <w:t xml:space="preserve"> </w:t>
      </w:r>
      <w:r w:rsidR="007229CD" w:rsidRPr="00240A8F">
        <w:rPr>
          <w:rFonts w:cs="Times New Roman"/>
          <w:b w:val="0"/>
          <w:szCs w:val="24"/>
        </w:rPr>
        <w:t xml:space="preserve">Primary, </w:t>
      </w:r>
      <w:r w:rsidR="00F42B78" w:rsidRPr="00240A8F">
        <w:rPr>
          <w:rFonts w:cs="Times New Roman"/>
          <w:b w:val="0"/>
          <w:szCs w:val="24"/>
        </w:rPr>
        <w:t>s</w:t>
      </w:r>
      <w:r w:rsidR="007229CD" w:rsidRPr="00240A8F">
        <w:rPr>
          <w:rFonts w:cs="Times New Roman"/>
          <w:b w:val="0"/>
          <w:szCs w:val="24"/>
        </w:rPr>
        <w:t xml:space="preserve">econdary and </w:t>
      </w:r>
      <w:r w:rsidR="00F42B78" w:rsidRPr="00240A8F">
        <w:rPr>
          <w:rFonts w:cs="Times New Roman"/>
          <w:b w:val="0"/>
          <w:szCs w:val="24"/>
        </w:rPr>
        <w:t>a</w:t>
      </w:r>
      <w:r w:rsidR="007229CD" w:rsidRPr="00240A8F">
        <w:rPr>
          <w:rFonts w:cs="Times New Roman"/>
          <w:b w:val="0"/>
          <w:szCs w:val="24"/>
        </w:rPr>
        <w:t xml:space="preserve">dditional </w:t>
      </w:r>
      <w:r w:rsidR="00F42B78" w:rsidRPr="00240A8F">
        <w:rPr>
          <w:rFonts w:cs="Times New Roman"/>
          <w:b w:val="0"/>
          <w:szCs w:val="24"/>
        </w:rPr>
        <w:t>e</w:t>
      </w:r>
      <w:r w:rsidR="007229CD" w:rsidRPr="00240A8F">
        <w:rPr>
          <w:rFonts w:cs="Times New Roman"/>
          <w:b w:val="0"/>
          <w:szCs w:val="24"/>
        </w:rPr>
        <w:t xml:space="preserve">fficacy </w:t>
      </w:r>
      <w:r w:rsidR="00F42B78" w:rsidRPr="00240A8F">
        <w:rPr>
          <w:rFonts w:cs="Times New Roman"/>
          <w:b w:val="0"/>
          <w:szCs w:val="24"/>
        </w:rPr>
        <w:t>e</w:t>
      </w:r>
      <w:r w:rsidR="007229CD" w:rsidRPr="00240A8F">
        <w:rPr>
          <w:rFonts w:cs="Times New Roman"/>
          <w:b w:val="0"/>
          <w:szCs w:val="24"/>
        </w:rPr>
        <w:t xml:space="preserve">ndpoints (Ex-US </w:t>
      </w:r>
      <w:r w:rsidR="00F42B78" w:rsidRPr="00240A8F">
        <w:rPr>
          <w:rFonts w:cs="Times New Roman"/>
          <w:b w:val="0"/>
          <w:szCs w:val="24"/>
        </w:rPr>
        <w:t>a</w:t>
      </w:r>
      <w:r w:rsidR="007229CD" w:rsidRPr="00240A8F">
        <w:rPr>
          <w:rFonts w:cs="Times New Roman"/>
          <w:b w:val="0"/>
          <w:szCs w:val="24"/>
        </w:rPr>
        <w:t xml:space="preserve">pproach; </w:t>
      </w:r>
      <w:r w:rsidR="00F42B78" w:rsidRPr="00240A8F">
        <w:rPr>
          <w:rFonts w:cs="Times New Roman"/>
          <w:b w:val="0"/>
          <w:szCs w:val="24"/>
        </w:rPr>
        <w:t>m</w:t>
      </w:r>
      <w:r w:rsidR="00B612C7" w:rsidRPr="00240A8F">
        <w:rPr>
          <w:rFonts w:cs="Times New Roman"/>
          <w:b w:val="0"/>
          <w:szCs w:val="24"/>
        </w:rPr>
        <w:t xml:space="preserve">odified </w:t>
      </w:r>
      <w:r w:rsidR="00F42B78" w:rsidRPr="00240A8F">
        <w:rPr>
          <w:rFonts w:cs="Times New Roman"/>
          <w:b w:val="0"/>
          <w:szCs w:val="24"/>
        </w:rPr>
        <w:t>i</w:t>
      </w:r>
      <w:r w:rsidR="00B612C7" w:rsidRPr="00240A8F">
        <w:rPr>
          <w:rFonts w:cs="Times New Roman"/>
          <w:b w:val="0"/>
          <w:szCs w:val="24"/>
        </w:rPr>
        <w:t>ntent-to-</w:t>
      </w:r>
      <w:r w:rsidR="00F42B78" w:rsidRPr="00240A8F">
        <w:rPr>
          <w:rFonts w:cs="Times New Roman"/>
          <w:b w:val="0"/>
          <w:szCs w:val="24"/>
        </w:rPr>
        <w:t>t</w:t>
      </w:r>
      <w:r w:rsidR="00B612C7" w:rsidRPr="00240A8F">
        <w:rPr>
          <w:rFonts w:cs="Times New Roman"/>
          <w:b w:val="0"/>
          <w:szCs w:val="24"/>
        </w:rPr>
        <w:t>reat</w:t>
      </w:r>
      <w:r w:rsidR="007229CD" w:rsidRPr="00240A8F">
        <w:rPr>
          <w:rFonts w:cs="Times New Roman"/>
          <w:b w:val="0"/>
          <w:szCs w:val="24"/>
        </w:rPr>
        <w:t xml:space="preserve"> </w:t>
      </w:r>
      <w:r w:rsidR="00F42B78" w:rsidRPr="00240A8F">
        <w:rPr>
          <w:rFonts w:cs="Times New Roman"/>
          <w:b w:val="0"/>
          <w:szCs w:val="24"/>
        </w:rPr>
        <w:t>p</w:t>
      </w:r>
      <w:r w:rsidR="007229CD" w:rsidRPr="00240A8F">
        <w:rPr>
          <w:rFonts w:cs="Times New Roman"/>
          <w:b w:val="0"/>
          <w:szCs w:val="24"/>
        </w:rPr>
        <w:t xml:space="preserve">opulation; </w:t>
      </w:r>
      <w:r w:rsidR="00F42B78" w:rsidRPr="00240A8F">
        <w:rPr>
          <w:rFonts w:cs="Times New Roman"/>
          <w:b w:val="0"/>
          <w:szCs w:val="24"/>
        </w:rPr>
        <w:t>e</w:t>
      </w:r>
      <w:r w:rsidR="007229CD" w:rsidRPr="00240A8F">
        <w:rPr>
          <w:rFonts w:cs="Times New Roman"/>
          <w:b w:val="0"/>
          <w:szCs w:val="24"/>
        </w:rPr>
        <w:t xml:space="preserve">fficacy </w:t>
      </w:r>
      <w:proofErr w:type="spellStart"/>
      <w:r w:rsidR="00F42B78" w:rsidRPr="00240A8F">
        <w:rPr>
          <w:rFonts w:cs="Times New Roman"/>
          <w:b w:val="0"/>
          <w:szCs w:val="24"/>
        </w:rPr>
        <w:t>e</w:t>
      </w:r>
      <w:r w:rsidR="007229CD" w:rsidRPr="00240A8F">
        <w:rPr>
          <w:rFonts w:cs="Times New Roman"/>
          <w:b w:val="0"/>
          <w:szCs w:val="24"/>
        </w:rPr>
        <w:t>stimand</w:t>
      </w:r>
      <w:proofErr w:type="spellEnd"/>
      <w:r w:rsidR="007229CD" w:rsidRPr="00240A8F">
        <w:rPr>
          <w:rFonts w:cs="Times New Roman"/>
          <w:b w:val="0"/>
          <w:szCs w:val="24"/>
        </w:rPr>
        <w:t xml:space="preserve"> </w:t>
      </w:r>
      <w:r w:rsidR="00F42B78" w:rsidRPr="00240A8F">
        <w:rPr>
          <w:rFonts w:cs="Times New Roman"/>
          <w:b w:val="0"/>
          <w:szCs w:val="24"/>
        </w:rPr>
        <w:t>u</w:t>
      </w:r>
      <w:r w:rsidR="007229CD" w:rsidRPr="00240A8F">
        <w:rPr>
          <w:rFonts w:cs="Times New Roman"/>
          <w:b w:val="0"/>
          <w:szCs w:val="24"/>
        </w:rPr>
        <w:t xml:space="preserve">nless </w:t>
      </w:r>
      <w:r w:rsidR="00F42B78" w:rsidRPr="00240A8F">
        <w:rPr>
          <w:rFonts w:cs="Times New Roman"/>
          <w:b w:val="0"/>
          <w:szCs w:val="24"/>
        </w:rPr>
        <w:t>s</w:t>
      </w:r>
      <w:r w:rsidR="007229CD" w:rsidRPr="00240A8F">
        <w:rPr>
          <w:rFonts w:cs="Times New Roman"/>
          <w:b w:val="0"/>
          <w:szCs w:val="24"/>
        </w:rPr>
        <w:t xml:space="preserve">tated </w:t>
      </w:r>
      <w:r w:rsidR="00F42B78" w:rsidRPr="00240A8F">
        <w:rPr>
          <w:rFonts w:cs="Times New Roman"/>
          <w:b w:val="0"/>
          <w:szCs w:val="24"/>
        </w:rPr>
        <w:t>o</w:t>
      </w:r>
      <w:r w:rsidR="007229CD" w:rsidRPr="00240A8F">
        <w:rPr>
          <w:rFonts w:cs="Times New Roman"/>
          <w:b w:val="0"/>
          <w:szCs w:val="24"/>
        </w:rPr>
        <w:t>therwise)</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843"/>
        <w:gridCol w:w="1842"/>
        <w:gridCol w:w="1560"/>
      </w:tblGrid>
      <w:tr w:rsidR="007229CD" w:rsidRPr="00240A8F" w14:paraId="56439C20" w14:textId="77777777" w:rsidTr="00081504">
        <w:trPr>
          <w:cantSplit/>
        </w:trPr>
        <w:tc>
          <w:tcPr>
            <w:tcW w:w="4253" w:type="dxa"/>
            <w:tcBorders>
              <w:top w:val="single" w:sz="12" w:space="0" w:color="auto"/>
              <w:bottom w:val="single" w:sz="12" w:space="0" w:color="auto"/>
            </w:tcBorders>
          </w:tcPr>
          <w:p w14:paraId="20FDCD2A" w14:textId="77777777" w:rsidR="007229CD" w:rsidRPr="00240A8F" w:rsidRDefault="007229CD" w:rsidP="00D35E27">
            <w:pPr>
              <w:spacing w:before="20" w:after="20" w:line="276" w:lineRule="auto"/>
              <w:rPr>
                <w:rFonts w:cs="Times New Roman"/>
                <w:b w:val="0"/>
                <w:sz w:val="22"/>
                <w:szCs w:val="22"/>
              </w:rPr>
            </w:pPr>
          </w:p>
        </w:tc>
        <w:tc>
          <w:tcPr>
            <w:tcW w:w="1843" w:type="dxa"/>
            <w:tcBorders>
              <w:top w:val="single" w:sz="12" w:space="0" w:color="auto"/>
              <w:bottom w:val="single" w:sz="12" w:space="0" w:color="auto"/>
            </w:tcBorders>
            <w:vAlign w:val="center"/>
          </w:tcPr>
          <w:p w14:paraId="43B491CF" w14:textId="77777777" w:rsidR="007229CD" w:rsidRPr="00240A8F" w:rsidRDefault="00FC5285" w:rsidP="00D35E27">
            <w:pPr>
              <w:spacing w:before="20" w:after="20" w:line="276" w:lineRule="auto"/>
              <w:jc w:val="center"/>
              <w:rPr>
                <w:rFonts w:cs="Times New Roman"/>
                <w:sz w:val="22"/>
                <w:szCs w:val="22"/>
              </w:rPr>
            </w:pPr>
            <w:r w:rsidRPr="00240A8F">
              <w:rPr>
                <w:rFonts w:cs="Times New Roman"/>
                <w:sz w:val="22"/>
                <w:szCs w:val="22"/>
              </w:rPr>
              <w:t xml:space="preserve">BFF MDI </w:t>
            </w:r>
            <w:r w:rsidRPr="00240A8F">
              <w:rPr>
                <w:rFonts w:cs="Times New Roman"/>
                <w:sz w:val="22"/>
                <w:szCs w:val="22"/>
              </w:rPr>
              <w:br/>
              <w:t xml:space="preserve">320/10 </w:t>
            </w:r>
            <w:r w:rsidR="007229CD" w:rsidRPr="00240A8F">
              <w:rPr>
                <w:rFonts w:cs="Times New Roman"/>
                <w:sz w:val="22"/>
                <w:szCs w:val="22"/>
              </w:rPr>
              <w:t>μg</w:t>
            </w:r>
          </w:p>
          <w:p w14:paraId="014A8BF8" w14:textId="77777777" w:rsidR="007229CD" w:rsidRPr="00240A8F" w:rsidRDefault="007229CD" w:rsidP="00D35E27">
            <w:pPr>
              <w:spacing w:before="20" w:after="20" w:line="276" w:lineRule="auto"/>
              <w:jc w:val="center"/>
              <w:rPr>
                <w:rFonts w:cs="Times New Roman"/>
                <w:sz w:val="22"/>
                <w:szCs w:val="22"/>
              </w:rPr>
            </w:pPr>
            <w:r w:rsidRPr="00240A8F">
              <w:rPr>
                <w:rFonts w:cs="Times New Roman"/>
                <w:sz w:val="22"/>
                <w:szCs w:val="22"/>
              </w:rPr>
              <w:t>N</w:t>
            </w:r>
            <w:r w:rsidR="00C80EC6" w:rsidRPr="00240A8F">
              <w:rPr>
                <w:rFonts w:cs="Times New Roman"/>
                <w:sz w:val="22"/>
                <w:szCs w:val="22"/>
              </w:rPr>
              <w:t>=</w:t>
            </w:r>
            <w:r w:rsidRPr="00240A8F">
              <w:rPr>
                <w:rFonts w:cs="Times New Roman"/>
                <w:sz w:val="22"/>
                <w:szCs w:val="22"/>
              </w:rPr>
              <w:t>619</w:t>
            </w:r>
          </w:p>
        </w:tc>
        <w:tc>
          <w:tcPr>
            <w:tcW w:w="1842" w:type="dxa"/>
            <w:tcBorders>
              <w:top w:val="single" w:sz="12" w:space="0" w:color="auto"/>
              <w:bottom w:val="single" w:sz="12" w:space="0" w:color="auto"/>
            </w:tcBorders>
            <w:vAlign w:val="center"/>
          </w:tcPr>
          <w:p w14:paraId="23E84D70" w14:textId="77777777" w:rsidR="007229CD" w:rsidRPr="00240A8F" w:rsidRDefault="00FC5285" w:rsidP="00D35E27">
            <w:pPr>
              <w:spacing w:before="20" w:after="20" w:line="276" w:lineRule="auto"/>
              <w:jc w:val="center"/>
              <w:rPr>
                <w:rFonts w:cs="Times New Roman"/>
                <w:sz w:val="22"/>
                <w:szCs w:val="22"/>
              </w:rPr>
            </w:pPr>
            <w:r w:rsidRPr="00240A8F">
              <w:rPr>
                <w:rFonts w:cs="Times New Roman"/>
                <w:sz w:val="22"/>
                <w:szCs w:val="22"/>
              </w:rPr>
              <w:t>BFF MDI 160/10</w:t>
            </w:r>
            <w:r w:rsidR="007229CD" w:rsidRPr="00240A8F">
              <w:rPr>
                <w:rFonts w:cs="Times New Roman"/>
                <w:sz w:val="22"/>
                <w:szCs w:val="22"/>
              </w:rPr>
              <w:t> μg</w:t>
            </w:r>
          </w:p>
          <w:p w14:paraId="21EF78D7" w14:textId="77777777" w:rsidR="007229CD" w:rsidRPr="00240A8F" w:rsidRDefault="00384BAC" w:rsidP="00D35E27">
            <w:pPr>
              <w:spacing w:before="20" w:after="20" w:line="276" w:lineRule="auto"/>
              <w:jc w:val="center"/>
              <w:rPr>
                <w:rFonts w:cs="Times New Roman"/>
                <w:sz w:val="22"/>
                <w:szCs w:val="22"/>
              </w:rPr>
            </w:pPr>
            <w:r w:rsidRPr="00240A8F">
              <w:rPr>
                <w:rFonts w:cs="Times New Roman"/>
                <w:sz w:val="22"/>
                <w:szCs w:val="22"/>
              </w:rPr>
              <w:t>N</w:t>
            </w:r>
            <w:r w:rsidR="00C80EC6" w:rsidRPr="00240A8F">
              <w:rPr>
                <w:rFonts w:cs="Times New Roman"/>
                <w:sz w:val="22"/>
                <w:szCs w:val="22"/>
              </w:rPr>
              <w:t>=</w:t>
            </w:r>
            <w:r w:rsidR="007229CD" w:rsidRPr="00240A8F">
              <w:rPr>
                <w:rFonts w:cs="Times New Roman"/>
                <w:sz w:val="22"/>
                <w:szCs w:val="22"/>
              </w:rPr>
              <w:t>617</w:t>
            </w:r>
          </w:p>
        </w:tc>
        <w:tc>
          <w:tcPr>
            <w:tcW w:w="1560" w:type="dxa"/>
            <w:tcBorders>
              <w:top w:val="single" w:sz="12" w:space="0" w:color="auto"/>
              <w:bottom w:val="single" w:sz="12" w:space="0" w:color="auto"/>
            </w:tcBorders>
            <w:vAlign w:val="center"/>
          </w:tcPr>
          <w:p w14:paraId="7AFB8317" w14:textId="77777777" w:rsidR="007229CD" w:rsidRPr="00240A8F" w:rsidRDefault="007229CD" w:rsidP="00D35E27">
            <w:pPr>
              <w:spacing w:before="20" w:after="20" w:line="276" w:lineRule="auto"/>
              <w:jc w:val="center"/>
              <w:rPr>
                <w:rFonts w:cs="Times New Roman"/>
                <w:sz w:val="22"/>
                <w:szCs w:val="22"/>
              </w:rPr>
            </w:pPr>
            <w:r w:rsidRPr="00240A8F">
              <w:rPr>
                <w:rFonts w:cs="Times New Roman"/>
                <w:sz w:val="22"/>
                <w:szCs w:val="22"/>
              </w:rPr>
              <w:t>FF MDI</w:t>
            </w:r>
          </w:p>
          <w:p w14:paraId="1DE10DA5" w14:textId="77777777" w:rsidR="007229CD" w:rsidRPr="00240A8F" w:rsidRDefault="00A12768" w:rsidP="00D35E27">
            <w:pPr>
              <w:spacing w:before="20" w:after="20" w:line="276" w:lineRule="auto"/>
              <w:jc w:val="center"/>
              <w:rPr>
                <w:rFonts w:cs="Times New Roman"/>
                <w:sz w:val="22"/>
                <w:szCs w:val="22"/>
              </w:rPr>
            </w:pPr>
            <w:r w:rsidRPr="00240A8F">
              <w:rPr>
                <w:rFonts w:cs="Times New Roman"/>
                <w:sz w:val="22"/>
                <w:szCs w:val="22"/>
              </w:rPr>
              <w:t>10 µg</w:t>
            </w:r>
          </w:p>
          <w:p w14:paraId="5DD52D9C" w14:textId="77777777" w:rsidR="007229CD" w:rsidRPr="00240A8F" w:rsidRDefault="007229CD" w:rsidP="00D35E27">
            <w:pPr>
              <w:spacing w:before="20" w:after="20" w:line="276" w:lineRule="auto"/>
              <w:jc w:val="center"/>
              <w:rPr>
                <w:rFonts w:cs="Times New Roman"/>
                <w:sz w:val="22"/>
                <w:szCs w:val="22"/>
              </w:rPr>
            </w:pPr>
            <w:r w:rsidRPr="00240A8F">
              <w:rPr>
                <w:rFonts w:cs="Times New Roman"/>
                <w:sz w:val="22"/>
                <w:szCs w:val="22"/>
              </w:rPr>
              <w:t>N</w:t>
            </w:r>
            <w:r w:rsidR="00C80EC6" w:rsidRPr="00240A8F">
              <w:rPr>
                <w:rFonts w:cs="Times New Roman"/>
                <w:sz w:val="22"/>
                <w:szCs w:val="22"/>
              </w:rPr>
              <w:t>=</w:t>
            </w:r>
            <w:r w:rsidRPr="00240A8F">
              <w:rPr>
                <w:rFonts w:cs="Times New Roman"/>
                <w:sz w:val="22"/>
                <w:szCs w:val="22"/>
              </w:rPr>
              <w:t>607</w:t>
            </w:r>
          </w:p>
        </w:tc>
      </w:tr>
      <w:tr w:rsidR="007229CD" w:rsidRPr="00240A8F" w14:paraId="6639C785" w14:textId="77777777" w:rsidTr="00081504">
        <w:trPr>
          <w:cantSplit/>
        </w:trPr>
        <w:tc>
          <w:tcPr>
            <w:tcW w:w="4253" w:type="dxa"/>
            <w:tcBorders>
              <w:top w:val="single" w:sz="12" w:space="0" w:color="auto"/>
            </w:tcBorders>
          </w:tcPr>
          <w:p w14:paraId="7AC96B63" w14:textId="77777777" w:rsidR="007229CD" w:rsidRPr="00240A8F" w:rsidRDefault="007229CD" w:rsidP="00D35E27">
            <w:pPr>
              <w:spacing w:before="20" w:after="20" w:line="276" w:lineRule="auto"/>
              <w:rPr>
                <w:rFonts w:cs="Times New Roman"/>
                <w:sz w:val="22"/>
                <w:szCs w:val="22"/>
              </w:rPr>
            </w:pPr>
            <w:r w:rsidRPr="00240A8F">
              <w:rPr>
                <w:rFonts w:cs="Times New Roman"/>
                <w:sz w:val="22"/>
                <w:szCs w:val="22"/>
              </w:rPr>
              <w:t>Primary endpoint</w:t>
            </w:r>
          </w:p>
        </w:tc>
        <w:tc>
          <w:tcPr>
            <w:tcW w:w="1843" w:type="dxa"/>
            <w:tcBorders>
              <w:top w:val="single" w:sz="12" w:space="0" w:color="auto"/>
            </w:tcBorders>
          </w:tcPr>
          <w:p w14:paraId="1C29A728" w14:textId="77777777" w:rsidR="007229CD" w:rsidRPr="00240A8F" w:rsidRDefault="007229CD" w:rsidP="006E4FCA">
            <w:pPr>
              <w:spacing w:before="20" w:after="20" w:line="276" w:lineRule="auto"/>
              <w:jc w:val="center"/>
              <w:rPr>
                <w:rFonts w:cs="Times New Roman"/>
                <w:sz w:val="22"/>
                <w:szCs w:val="22"/>
              </w:rPr>
            </w:pPr>
          </w:p>
        </w:tc>
        <w:tc>
          <w:tcPr>
            <w:tcW w:w="1842" w:type="dxa"/>
            <w:tcBorders>
              <w:top w:val="single" w:sz="12" w:space="0" w:color="auto"/>
            </w:tcBorders>
          </w:tcPr>
          <w:p w14:paraId="04FE7C7B" w14:textId="77777777" w:rsidR="007229CD" w:rsidRPr="00240A8F" w:rsidRDefault="007229CD" w:rsidP="006E4FCA">
            <w:pPr>
              <w:spacing w:before="20" w:after="20" w:line="276" w:lineRule="auto"/>
              <w:jc w:val="center"/>
              <w:rPr>
                <w:rFonts w:cs="Times New Roman"/>
                <w:sz w:val="22"/>
                <w:szCs w:val="22"/>
              </w:rPr>
            </w:pPr>
          </w:p>
        </w:tc>
        <w:tc>
          <w:tcPr>
            <w:tcW w:w="1560" w:type="dxa"/>
            <w:tcBorders>
              <w:top w:val="single" w:sz="12" w:space="0" w:color="auto"/>
            </w:tcBorders>
          </w:tcPr>
          <w:p w14:paraId="31FA3115" w14:textId="77777777" w:rsidR="007229CD" w:rsidRPr="00240A8F" w:rsidRDefault="007229CD" w:rsidP="006E4FCA">
            <w:pPr>
              <w:spacing w:before="20" w:after="20" w:line="276" w:lineRule="auto"/>
              <w:jc w:val="center"/>
              <w:rPr>
                <w:rFonts w:cs="Times New Roman"/>
                <w:sz w:val="22"/>
                <w:szCs w:val="22"/>
              </w:rPr>
            </w:pPr>
          </w:p>
        </w:tc>
      </w:tr>
      <w:tr w:rsidR="007E5998" w:rsidRPr="00240A8F" w14:paraId="3C8B624F" w14:textId="77777777" w:rsidTr="00081504">
        <w:trPr>
          <w:cantSplit/>
        </w:trPr>
        <w:tc>
          <w:tcPr>
            <w:tcW w:w="9498" w:type="dxa"/>
            <w:gridSpan w:val="4"/>
          </w:tcPr>
          <w:p w14:paraId="51A831CD" w14:textId="77777777" w:rsidR="007E5998" w:rsidRPr="00240A8F" w:rsidRDefault="007E5998" w:rsidP="00D8573E">
            <w:pPr>
              <w:spacing w:before="20" w:after="20" w:line="276" w:lineRule="auto"/>
              <w:rPr>
                <w:rFonts w:cs="Times New Roman"/>
                <w:sz w:val="22"/>
                <w:szCs w:val="22"/>
              </w:rPr>
            </w:pPr>
            <w:r w:rsidRPr="00240A8F">
              <w:rPr>
                <w:rFonts w:cs="Times New Roman"/>
                <w:sz w:val="22"/>
                <w:szCs w:val="22"/>
              </w:rPr>
              <w:t>Change from baseline in morning pre-dose trough FEV</w:t>
            </w:r>
            <w:r w:rsidRPr="00240A8F">
              <w:rPr>
                <w:rFonts w:cs="Times New Roman"/>
                <w:sz w:val="22"/>
                <w:szCs w:val="22"/>
                <w:vertAlign w:val="subscript"/>
              </w:rPr>
              <w:t>1</w:t>
            </w:r>
            <w:r w:rsidRPr="00240A8F">
              <w:rPr>
                <w:rFonts w:cs="Times New Roman"/>
                <w:sz w:val="22"/>
                <w:szCs w:val="22"/>
              </w:rPr>
              <w:t xml:space="preserve"> (mL) over 24 weeks</w:t>
            </w:r>
          </w:p>
        </w:tc>
      </w:tr>
      <w:tr w:rsidR="007229CD" w:rsidRPr="00240A8F" w14:paraId="3FFC016D" w14:textId="77777777" w:rsidTr="00081504">
        <w:trPr>
          <w:cantSplit/>
        </w:trPr>
        <w:tc>
          <w:tcPr>
            <w:tcW w:w="4253" w:type="dxa"/>
          </w:tcPr>
          <w:p w14:paraId="4A474C90" w14:textId="77777777" w:rsidR="007229CD" w:rsidRPr="00240A8F" w:rsidRDefault="007229CD" w:rsidP="00024C1F">
            <w:pPr>
              <w:spacing w:before="20" w:after="20" w:line="276" w:lineRule="auto"/>
              <w:ind w:left="851" w:hanging="284"/>
              <w:rPr>
                <w:rFonts w:cs="Times New Roman"/>
                <w:b w:val="0"/>
                <w:sz w:val="22"/>
                <w:szCs w:val="22"/>
              </w:rPr>
            </w:pPr>
            <w:r w:rsidRPr="00240A8F">
              <w:rPr>
                <w:rFonts w:cs="Times New Roman"/>
                <w:b w:val="0"/>
                <w:sz w:val="22"/>
                <w:szCs w:val="22"/>
              </w:rPr>
              <w:t>N</w:t>
            </w:r>
          </w:p>
          <w:p w14:paraId="2C50FE50" w14:textId="77777777" w:rsidR="007229CD" w:rsidRPr="00240A8F" w:rsidRDefault="007229CD" w:rsidP="00024C1F">
            <w:pPr>
              <w:spacing w:before="20" w:after="20" w:line="276" w:lineRule="auto"/>
              <w:ind w:left="851" w:hanging="284"/>
              <w:rPr>
                <w:rFonts w:cs="Times New Roman"/>
                <w:b w:val="0"/>
                <w:sz w:val="22"/>
                <w:szCs w:val="22"/>
              </w:rPr>
            </w:pPr>
            <w:r w:rsidRPr="00240A8F">
              <w:rPr>
                <w:rFonts w:cs="Times New Roman"/>
                <w:b w:val="0"/>
                <w:sz w:val="22"/>
                <w:szCs w:val="22"/>
              </w:rPr>
              <w:t>LSM (SE)</w:t>
            </w:r>
          </w:p>
          <w:p w14:paraId="3A392046" w14:textId="77777777" w:rsidR="002F62BB" w:rsidRPr="00240A8F" w:rsidRDefault="007229CD" w:rsidP="00024C1F">
            <w:pPr>
              <w:spacing w:before="20" w:after="20" w:line="276" w:lineRule="auto"/>
              <w:ind w:left="851" w:hanging="284"/>
              <w:rPr>
                <w:rFonts w:cs="Times New Roman"/>
                <w:b w:val="0"/>
                <w:sz w:val="22"/>
                <w:szCs w:val="22"/>
              </w:rPr>
            </w:pPr>
            <w:r w:rsidRPr="00240A8F">
              <w:rPr>
                <w:rFonts w:cs="Times New Roman"/>
                <w:b w:val="0"/>
                <w:sz w:val="22"/>
                <w:szCs w:val="22"/>
              </w:rPr>
              <w:t xml:space="preserve">LSM </w:t>
            </w:r>
            <w:r w:rsidR="00CC68E4" w:rsidRPr="00240A8F">
              <w:rPr>
                <w:rFonts w:cs="Times New Roman"/>
                <w:b w:val="0"/>
                <w:sz w:val="22"/>
                <w:szCs w:val="22"/>
              </w:rPr>
              <w:t>difference</w:t>
            </w:r>
            <w:r w:rsidR="002F62BB" w:rsidRPr="00240A8F">
              <w:rPr>
                <w:rFonts w:cs="Times New Roman"/>
                <w:b w:val="0"/>
                <w:sz w:val="22"/>
                <w:szCs w:val="22"/>
              </w:rPr>
              <w:t xml:space="preserve"> </w:t>
            </w:r>
            <w:r w:rsidR="00BE31D4" w:rsidRPr="00240A8F">
              <w:rPr>
                <w:rFonts w:cs="Times New Roman"/>
                <w:b w:val="0"/>
                <w:i/>
                <w:sz w:val="22"/>
                <w:szCs w:val="22"/>
              </w:rPr>
              <w:t>versus</w:t>
            </w:r>
            <w:r w:rsidR="002F62BB" w:rsidRPr="00240A8F">
              <w:rPr>
                <w:rFonts w:cs="Times New Roman"/>
                <w:b w:val="0"/>
                <w:sz w:val="22"/>
                <w:szCs w:val="22"/>
              </w:rPr>
              <w:t xml:space="preserve"> FF MDI</w:t>
            </w:r>
            <w:r w:rsidR="00081504" w:rsidRPr="00240A8F">
              <w:rPr>
                <w:rFonts w:cs="Times New Roman"/>
                <w:b w:val="0"/>
                <w:sz w:val="22"/>
                <w:szCs w:val="22"/>
              </w:rPr>
              <w:br/>
            </w:r>
            <w:r w:rsidR="002F62BB" w:rsidRPr="00240A8F">
              <w:rPr>
                <w:rFonts w:cs="Times New Roman"/>
                <w:b w:val="0"/>
                <w:sz w:val="22"/>
                <w:szCs w:val="22"/>
              </w:rPr>
              <w:t>(95% CI)</w:t>
            </w:r>
          </w:p>
          <w:p w14:paraId="3C97F5C5" w14:textId="77777777" w:rsidR="007229CD" w:rsidRPr="00240A8F" w:rsidRDefault="00C80EC6" w:rsidP="00024C1F">
            <w:pPr>
              <w:spacing w:before="20" w:after="20" w:line="276" w:lineRule="auto"/>
              <w:ind w:left="851" w:hanging="284"/>
              <w:rPr>
                <w:rFonts w:cs="Times New Roman"/>
                <w:b w:val="0"/>
                <w:sz w:val="22"/>
                <w:szCs w:val="22"/>
              </w:rPr>
            </w:pPr>
            <w:r w:rsidRPr="00240A8F">
              <w:rPr>
                <w:rFonts w:cs="Times New Roman"/>
                <w:b w:val="0"/>
                <w:sz w:val="22"/>
                <w:szCs w:val="22"/>
              </w:rPr>
              <w:t>p-</w:t>
            </w:r>
            <w:r w:rsidR="00E31455" w:rsidRPr="00240A8F">
              <w:rPr>
                <w:rFonts w:cs="Times New Roman"/>
                <w:b w:val="0"/>
                <w:sz w:val="22"/>
                <w:szCs w:val="22"/>
              </w:rPr>
              <w:t>value</w:t>
            </w:r>
          </w:p>
        </w:tc>
        <w:tc>
          <w:tcPr>
            <w:tcW w:w="1843" w:type="dxa"/>
          </w:tcPr>
          <w:p w14:paraId="2CBC6654" w14:textId="77777777" w:rsidR="007229CD" w:rsidRPr="00240A8F" w:rsidRDefault="007229CD" w:rsidP="001930F4">
            <w:pPr>
              <w:spacing w:before="20" w:after="20" w:line="276" w:lineRule="auto"/>
              <w:jc w:val="center"/>
              <w:rPr>
                <w:rFonts w:cs="Times New Roman"/>
                <w:b w:val="0"/>
                <w:sz w:val="22"/>
                <w:szCs w:val="22"/>
              </w:rPr>
            </w:pPr>
            <w:r w:rsidRPr="00240A8F">
              <w:rPr>
                <w:rFonts w:cs="Times New Roman"/>
                <w:b w:val="0"/>
                <w:sz w:val="22"/>
                <w:szCs w:val="22"/>
              </w:rPr>
              <w:t>578</w:t>
            </w:r>
          </w:p>
          <w:p w14:paraId="52AE5D3C" w14:textId="77777777" w:rsidR="007229CD" w:rsidRPr="00240A8F" w:rsidRDefault="007229CD" w:rsidP="001930F4">
            <w:pPr>
              <w:spacing w:before="20" w:after="20" w:line="276" w:lineRule="auto"/>
              <w:jc w:val="center"/>
              <w:rPr>
                <w:rFonts w:cs="Times New Roman"/>
                <w:b w:val="0"/>
                <w:sz w:val="22"/>
                <w:szCs w:val="22"/>
              </w:rPr>
            </w:pPr>
            <w:r w:rsidRPr="00240A8F">
              <w:rPr>
                <w:rFonts w:cs="Times New Roman"/>
                <w:b w:val="0"/>
                <w:sz w:val="22"/>
                <w:szCs w:val="22"/>
              </w:rPr>
              <w:t>63 (7.9)</w:t>
            </w:r>
          </w:p>
          <w:p w14:paraId="063BB3E5" w14:textId="4266B6E3" w:rsidR="00081504" w:rsidRPr="00240A8F" w:rsidRDefault="003968D7" w:rsidP="00081504">
            <w:pPr>
              <w:spacing w:before="20" w:after="20" w:line="276" w:lineRule="auto"/>
              <w:jc w:val="center"/>
              <w:rPr>
                <w:rFonts w:cs="Times New Roman"/>
                <w:b w:val="0"/>
                <w:sz w:val="22"/>
                <w:szCs w:val="22"/>
              </w:rPr>
            </w:pPr>
            <w:r w:rsidRPr="00240A8F">
              <w:rPr>
                <w:rFonts w:cs="Times New Roman"/>
                <w:b w:val="0"/>
                <w:sz w:val="22"/>
                <w:szCs w:val="22"/>
              </w:rPr>
              <w:t>39</w:t>
            </w:r>
            <w:r w:rsidR="00081504" w:rsidRPr="00240A8F">
              <w:rPr>
                <w:rFonts w:cs="Times New Roman"/>
                <w:b w:val="0"/>
                <w:sz w:val="22"/>
                <w:szCs w:val="22"/>
              </w:rPr>
              <w:br/>
            </w:r>
            <w:r w:rsidRPr="00240A8F">
              <w:rPr>
                <w:rFonts w:cs="Times New Roman"/>
                <w:b w:val="0"/>
                <w:sz w:val="22"/>
                <w:szCs w:val="22"/>
              </w:rPr>
              <w:t>(18, 59)</w:t>
            </w:r>
          </w:p>
          <w:p w14:paraId="3B711DA7" w14:textId="77777777" w:rsidR="007229CD" w:rsidRPr="00240A8F" w:rsidRDefault="00F445B7" w:rsidP="00081504">
            <w:pPr>
              <w:spacing w:before="20" w:after="20" w:line="276" w:lineRule="auto"/>
              <w:jc w:val="center"/>
              <w:rPr>
                <w:rFonts w:cs="Times New Roman"/>
                <w:b w:val="0"/>
                <w:sz w:val="22"/>
                <w:szCs w:val="22"/>
              </w:rPr>
            </w:pPr>
            <w:r w:rsidRPr="00240A8F">
              <w:rPr>
                <w:rFonts w:cs="Times New Roman"/>
                <w:b w:val="0"/>
                <w:sz w:val="22"/>
                <w:szCs w:val="22"/>
              </w:rPr>
              <w:t>0.0003</w:t>
            </w:r>
          </w:p>
        </w:tc>
        <w:tc>
          <w:tcPr>
            <w:tcW w:w="1842" w:type="dxa"/>
          </w:tcPr>
          <w:p w14:paraId="7D8B51C0" w14:textId="77777777" w:rsidR="007229CD" w:rsidRPr="00240A8F" w:rsidRDefault="007229CD" w:rsidP="001930F4">
            <w:pPr>
              <w:spacing w:before="20" w:after="20" w:line="276" w:lineRule="auto"/>
              <w:jc w:val="center"/>
              <w:rPr>
                <w:rFonts w:cs="Times New Roman"/>
                <w:b w:val="0"/>
                <w:sz w:val="22"/>
                <w:szCs w:val="22"/>
              </w:rPr>
            </w:pPr>
            <w:r w:rsidRPr="00240A8F">
              <w:rPr>
                <w:rFonts w:cs="Times New Roman"/>
                <w:b w:val="0"/>
                <w:sz w:val="22"/>
                <w:szCs w:val="22"/>
              </w:rPr>
              <w:t>590</w:t>
            </w:r>
          </w:p>
          <w:p w14:paraId="64CC3AE5" w14:textId="77777777" w:rsidR="007229CD" w:rsidRPr="00240A8F" w:rsidRDefault="007229CD" w:rsidP="001930F4">
            <w:pPr>
              <w:spacing w:before="20" w:after="20" w:line="276" w:lineRule="auto"/>
              <w:jc w:val="center"/>
              <w:rPr>
                <w:rFonts w:cs="Times New Roman"/>
                <w:b w:val="0"/>
                <w:sz w:val="22"/>
                <w:szCs w:val="22"/>
              </w:rPr>
            </w:pPr>
            <w:r w:rsidRPr="00240A8F">
              <w:rPr>
                <w:rFonts w:cs="Times New Roman"/>
                <w:b w:val="0"/>
                <w:sz w:val="22"/>
                <w:szCs w:val="22"/>
              </w:rPr>
              <w:t>59 (7.7)</w:t>
            </w:r>
          </w:p>
          <w:p w14:paraId="09FC3EAF" w14:textId="51678A0D" w:rsidR="00081504" w:rsidRPr="00240A8F" w:rsidRDefault="00081504" w:rsidP="00081504">
            <w:pPr>
              <w:spacing w:before="20" w:after="20" w:line="276" w:lineRule="auto"/>
              <w:jc w:val="center"/>
              <w:rPr>
                <w:rFonts w:cs="Times New Roman"/>
                <w:b w:val="0"/>
                <w:sz w:val="22"/>
                <w:szCs w:val="22"/>
              </w:rPr>
            </w:pPr>
            <w:r w:rsidRPr="00240A8F">
              <w:rPr>
                <w:rFonts w:cs="Times New Roman"/>
                <w:b w:val="0"/>
                <w:sz w:val="22"/>
                <w:szCs w:val="22"/>
              </w:rPr>
              <w:t>34</w:t>
            </w:r>
            <w:r w:rsidRPr="00240A8F">
              <w:rPr>
                <w:rFonts w:cs="Times New Roman"/>
                <w:b w:val="0"/>
                <w:sz w:val="22"/>
                <w:szCs w:val="22"/>
              </w:rPr>
              <w:br/>
            </w:r>
            <w:r w:rsidR="007229CD" w:rsidRPr="00240A8F">
              <w:rPr>
                <w:rFonts w:cs="Times New Roman"/>
                <w:b w:val="0"/>
                <w:sz w:val="22"/>
                <w:szCs w:val="22"/>
              </w:rPr>
              <w:t>(14, 55)</w:t>
            </w:r>
          </w:p>
          <w:p w14:paraId="2CFD6ABC" w14:textId="77777777" w:rsidR="007229CD" w:rsidRPr="00240A8F" w:rsidRDefault="00F445B7" w:rsidP="00081504">
            <w:pPr>
              <w:spacing w:before="20" w:after="20" w:line="276" w:lineRule="auto"/>
              <w:jc w:val="center"/>
              <w:rPr>
                <w:rFonts w:cs="Times New Roman"/>
                <w:b w:val="0"/>
                <w:sz w:val="22"/>
                <w:szCs w:val="22"/>
              </w:rPr>
            </w:pPr>
            <w:r w:rsidRPr="00240A8F">
              <w:rPr>
                <w:rFonts w:cs="Times New Roman"/>
                <w:b w:val="0"/>
                <w:sz w:val="22"/>
                <w:szCs w:val="22"/>
              </w:rPr>
              <w:t>0.0012</w:t>
            </w:r>
          </w:p>
        </w:tc>
        <w:tc>
          <w:tcPr>
            <w:tcW w:w="1560" w:type="dxa"/>
          </w:tcPr>
          <w:p w14:paraId="10F479C1" w14:textId="77777777" w:rsidR="007229CD" w:rsidRPr="00240A8F" w:rsidRDefault="007229CD" w:rsidP="001930F4">
            <w:pPr>
              <w:spacing w:before="20" w:after="20" w:line="276" w:lineRule="auto"/>
              <w:jc w:val="center"/>
              <w:rPr>
                <w:rFonts w:cs="Times New Roman"/>
                <w:b w:val="0"/>
                <w:sz w:val="22"/>
                <w:szCs w:val="22"/>
              </w:rPr>
            </w:pPr>
            <w:r w:rsidRPr="00240A8F">
              <w:rPr>
                <w:rFonts w:cs="Times New Roman"/>
                <w:b w:val="0"/>
                <w:sz w:val="22"/>
                <w:szCs w:val="22"/>
              </w:rPr>
              <w:t>559</w:t>
            </w:r>
          </w:p>
          <w:p w14:paraId="0DEF9138" w14:textId="77777777" w:rsidR="007229CD" w:rsidRPr="00240A8F" w:rsidRDefault="007229CD" w:rsidP="001930F4">
            <w:pPr>
              <w:spacing w:before="20" w:after="20" w:line="276" w:lineRule="auto"/>
              <w:jc w:val="center"/>
              <w:rPr>
                <w:rFonts w:cs="Times New Roman"/>
                <w:b w:val="0"/>
                <w:sz w:val="22"/>
                <w:szCs w:val="22"/>
              </w:rPr>
            </w:pPr>
            <w:r w:rsidRPr="00240A8F">
              <w:rPr>
                <w:rFonts w:cs="Times New Roman"/>
                <w:b w:val="0"/>
                <w:sz w:val="22"/>
                <w:szCs w:val="22"/>
              </w:rPr>
              <w:t>24 (8.0)</w:t>
            </w:r>
          </w:p>
          <w:p w14:paraId="3AA2DC59" w14:textId="77777777" w:rsidR="00BD7676"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r w:rsidR="00BD7676" w:rsidRPr="00240A8F">
              <w:rPr>
                <w:rFonts w:cs="Times New Roman"/>
                <w:b w:val="0"/>
                <w:sz w:val="22"/>
                <w:szCs w:val="22"/>
              </w:rPr>
              <w:br/>
            </w:r>
            <w:r w:rsidRPr="00240A8F">
              <w:rPr>
                <w:rFonts w:cs="Times New Roman"/>
                <w:b w:val="0"/>
                <w:sz w:val="22"/>
                <w:szCs w:val="22"/>
              </w:rPr>
              <w:t>–</w:t>
            </w:r>
          </w:p>
          <w:p w14:paraId="14EC155B" w14:textId="77777777" w:rsidR="00081504"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p>
        </w:tc>
      </w:tr>
      <w:tr w:rsidR="007229CD" w:rsidRPr="00240A8F" w14:paraId="00413A7E" w14:textId="77777777" w:rsidTr="00081504">
        <w:trPr>
          <w:cantSplit/>
        </w:trPr>
        <w:tc>
          <w:tcPr>
            <w:tcW w:w="4253" w:type="dxa"/>
          </w:tcPr>
          <w:p w14:paraId="41CF835F" w14:textId="77777777" w:rsidR="007229CD" w:rsidRPr="00240A8F" w:rsidRDefault="007229CD" w:rsidP="00D35E27">
            <w:pPr>
              <w:spacing w:before="20" w:after="20" w:line="276" w:lineRule="auto"/>
              <w:rPr>
                <w:rFonts w:cs="Times New Roman"/>
                <w:sz w:val="22"/>
                <w:szCs w:val="22"/>
              </w:rPr>
            </w:pPr>
            <w:r w:rsidRPr="00240A8F">
              <w:rPr>
                <w:rFonts w:cs="Times New Roman"/>
                <w:sz w:val="22"/>
                <w:szCs w:val="22"/>
              </w:rPr>
              <w:t>Secondary endpoints</w:t>
            </w:r>
          </w:p>
        </w:tc>
        <w:tc>
          <w:tcPr>
            <w:tcW w:w="1843" w:type="dxa"/>
          </w:tcPr>
          <w:p w14:paraId="50EFA602" w14:textId="77777777" w:rsidR="007229CD" w:rsidRPr="00240A8F" w:rsidRDefault="007229CD" w:rsidP="00D35E27">
            <w:pPr>
              <w:spacing w:before="20" w:after="20" w:line="276" w:lineRule="auto"/>
              <w:rPr>
                <w:rFonts w:cs="Times New Roman"/>
                <w:sz w:val="22"/>
                <w:szCs w:val="22"/>
              </w:rPr>
            </w:pPr>
          </w:p>
        </w:tc>
        <w:tc>
          <w:tcPr>
            <w:tcW w:w="1842" w:type="dxa"/>
          </w:tcPr>
          <w:p w14:paraId="14C0740B" w14:textId="77777777" w:rsidR="007229CD" w:rsidRPr="00240A8F" w:rsidRDefault="007229CD" w:rsidP="00D35E27">
            <w:pPr>
              <w:spacing w:before="20" w:after="20" w:line="276" w:lineRule="auto"/>
              <w:rPr>
                <w:rFonts w:cs="Times New Roman"/>
                <w:sz w:val="22"/>
                <w:szCs w:val="22"/>
              </w:rPr>
            </w:pPr>
          </w:p>
        </w:tc>
        <w:tc>
          <w:tcPr>
            <w:tcW w:w="1560" w:type="dxa"/>
          </w:tcPr>
          <w:p w14:paraId="36309141" w14:textId="77777777" w:rsidR="007229CD" w:rsidRPr="00240A8F" w:rsidRDefault="007229CD" w:rsidP="00D35E27">
            <w:pPr>
              <w:spacing w:before="20" w:after="20" w:line="276" w:lineRule="auto"/>
              <w:rPr>
                <w:rFonts w:cs="Times New Roman"/>
                <w:sz w:val="22"/>
                <w:szCs w:val="22"/>
              </w:rPr>
            </w:pPr>
          </w:p>
        </w:tc>
      </w:tr>
      <w:tr w:rsidR="007E5998" w:rsidRPr="00240A8F" w14:paraId="4493EC7F" w14:textId="77777777" w:rsidTr="00081504">
        <w:trPr>
          <w:cantSplit/>
        </w:trPr>
        <w:tc>
          <w:tcPr>
            <w:tcW w:w="9498" w:type="dxa"/>
            <w:gridSpan w:val="4"/>
          </w:tcPr>
          <w:p w14:paraId="616D9903" w14:textId="77777777" w:rsidR="007E5998" w:rsidRPr="00240A8F" w:rsidRDefault="007E5998" w:rsidP="001930F4">
            <w:pPr>
              <w:spacing w:before="20" w:after="20" w:line="276" w:lineRule="auto"/>
              <w:jc w:val="center"/>
              <w:rPr>
                <w:rFonts w:cs="Times New Roman"/>
                <w:sz w:val="22"/>
                <w:szCs w:val="22"/>
              </w:rPr>
            </w:pPr>
            <w:r w:rsidRPr="00240A8F">
              <w:rPr>
                <w:rFonts w:cs="Times New Roman"/>
                <w:sz w:val="22"/>
                <w:szCs w:val="22"/>
              </w:rPr>
              <w:t>Change from baseline in morning pre-dose trough FEV</w:t>
            </w:r>
            <w:r w:rsidRPr="00240A8F">
              <w:rPr>
                <w:rFonts w:cs="Times New Roman"/>
                <w:sz w:val="22"/>
                <w:szCs w:val="22"/>
                <w:vertAlign w:val="subscript"/>
              </w:rPr>
              <w:t>1</w:t>
            </w:r>
            <w:r w:rsidRPr="00240A8F">
              <w:rPr>
                <w:rFonts w:cs="Times New Roman"/>
                <w:sz w:val="22"/>
                <w:szCs w:val="22"/>
              </w:rPr>
              <w:t xml:space="preserve"> (mL) over 24 weeks (attributable </w:t>
            </w:r>
            <w:proofErr w:type="spellStart"/>
            <w:r w:rsidRPr="00240A8F">
              <w:rPr>
                <w:rFonts w:cs="Times New Roman"/>
                <w:sz w:val="22"/>
                <w:szCs w:val="22"/>
              </w:rPr>
              <w:t>estimand</w:t>
            </w:r>
            <w:proofErr w:type="spellEnd"/>
            <w:r w:rsidRPr="00240A8F">
              <w:rPr>
                <w:rFonts w:cs="Times New Roman"/>
                <w:sz w:val="22"/>
                <w:szCs w:val="22"/>
              </w:rPr>
              <w:t>)</w:t>
            </w:r>
          </w:p>
        </w:tc>
      </w:tr>
      <w:tr w:rsidR="00024C1F" w:rsidRPr="00240A8F" w14:paraId="659F7828" w14:textId="77777777" w:rsidTr="00081504">
        <w:trPr>
          <w:cantSplit/>
        </w:trPr>
        <w:tc>
          <w:tcPr>
            <w:tcW w:w="4253" w:type="dxa"/>
          </w:tcPr>
          <w:p w14:paraId="79E49548"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N</w:t>
            </w:r>
          </w:p>
          <w:p w14:paraId="513FE07E"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LSM (SE)</w:t>
            </w:r>
          </w:p>
          <w:p w14:paraId="1A942D00"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 xml:space="preserve">LSM difference </w:t>
            </w:r>
            <w:r w:rsidR="00BE31D4" w:rsidRPr="00240A8F">
              <w:rPr>
                <w:rFonts w:cs="Times New Roman"/>
                <w:b w:val="0"/>
                <w:i/>
                <w:sz w:val="22"/>
                <w:szCs w:val="22"/>
              </w:rPr>
              <w:t>versus</w:t>
            </w:r>
            <w:r w:rsidR="002F62BB" w:rsidRPr="00240A8F">
              <w:rPr>
                <w:rFonts w:cs="Times New Roman"/>
                <w:b w:val="0"/>
                <w:sz w:val="22"/>
                <w:szCs w:val="22"/>
              </w:rPr>
              <w:t xml:space="preserve"> FF MDI</w:t>
            </w:r>
            <w:r w:rsidR="00081504" w:rsidRPr="00240A8F">
              <w:rPr>
                <w:rFonts w:cs="Times New Roman"/>
                <w:b w:val="0"/>
                <w:sz w:val="22"/>
                <w:szCs w:val="22"/>
              </w:rPr>
              <w:br/>
            </w:r>
            <w:r w:rsidR="002F62BB" w:rsidRPr="00240A8F">
              <w:rPr>
                <w:rFonts w:cs="Times New Roman"/>
                <w:b w:val="0"/>
                <w:sz w:val="22"/>
                <w:szCs w:val="22"/>
              </w:rPr>
              <w:t>(95% CI)</w:t>
            </w:r>
          </w:p>
          <w:p w14:paraId="418F09B4" w14:textId="77777777" w:rsidR="00024C1F" w:rsidRPr="00240A8F" w:rsidRDefault="00C80EC6" w:rsidP="00024C1F">
            <w:pPr>
              <w:spacing w:before="20" w:after="20" w:line="276" w:lineRule="auto"/>
              <w:ind w:left="851" w:hanging="284"/>
              <w:rPr>
                <w:rFonts w:cs="Times New Roman"/>
                <w:b w:val="0"/>
                <w:sz w:val="22"/>
                <w:szCs w:val="22"/>
              </w:rPr>
            </w:pPr>
            <w:r w:rsidRPr="00240A8F">
              <w:rPr>
                <w:rFonts w:cs="Times New Roman"/>
                <w:b w:val="0"/>
                <w:sz w:val="22"/>
                <w:szCs w:val="22"/>
              </w:rPr>
              <w:t>p-</w:t>
            </w:r>
            <w:r w:rsidR="00024C1F" w:rsidRPr="00240A8F">
              <w:rPr>
                <w:rFonts w:cs="Times New Roman"/>
                <w:b w:val="0"/>
                <w:sz w:val="22"/>
                <w:szCs w:val="22"/>
              </w:rPr>
              <w:t>value</w:t>
            </w:r>
          </w:p>
        </w:tc>
        <w:tc>
          <w:tcPr>
            <w:tcW w:w="1843" w:type="dxa"/>
          </w:tcPr>
          <w:p w14:paraId="27741AC7"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612</w:t>
            </w:r>
          </w:p>
          <w:p w14:paraId="2C341CB6"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49 (8.2)</w:t>
            </w:r>
          </w:p>
          <w:p w14:paraId="663E327B" w14:textId="5C7FCCC3" w:rsidR="00024C1F" w:rsidRPr="00240A8F" w:rsidRDefault="00081504" w:rsidP="001930F4">
            <w:pPr>
              <w:spacing w:before="20" w:after="20" w:line="276" w:lineRule="auto"/>
              <w:jc w:val="center"/>
              <w:rPr>
                <w:rFonts w:cs="Times New Roman"/>
                <w:b w:val="0"/>
                <w:sz w:val="22"/>
                <w:szCs w:val="22"/>
              </w:rPr>
            </w:pPr>
            <w:r w:rsidRPr="00240A8F">
              <w:rPr>
                <w:rFonts w:cs="Times New Roman"/>
                <w:b w:val="0"/>
                <w:sz w:val="22"/>
                <w:szCs w:val="22"/>
              </w:rPr>
              <w:t>48</w:t>
            </w:r>
            <w:r w:rsidRPr="00240A8F">
              <w:rPr>
                <w:rFonts w:cs="Times New Roman"/>
                <w:b w:val="0"/>
                <w:sz w:val="22"/>
                <w:szCs w:val="22"/>
              </w:rPr>
              <w:br/>
            </w:r>
            <w:r w:rsidR="002F62BB" w:rsidRPr="00240A8F">
              <w:rPr>
                <w:rFonts w:cs="Times New Roman"/>
                <w:b w:val="0"/>
                <w:sz w:val="22"/>
                <w:szCs w:val="22"/>
              </w:rPr>
              <w:t>(27, 70)</w:t>
            </w:r>
          </w:p>
          <w:p w14:paraId="7B2373A5"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&lt;0.0001</w:t>
            </w:r>
          </w:p>
        </w:tc>
        <w:tc>
          <w:tcPr>
            <w:tcW w:w="1842" w:type="dxa"/>
          </w:tcPr>
          <w:p w14:paraId="1A186E6A"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612</w:t>
            </w:r>
          </w:p>
          <w:p w14:paraId="36509A85"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44 (7.9)</w:t>
            </w:r>
          </w:p>
          <w:p w14:paraId="4D44BB21" w14:textId="57F0228D" w:rsidR="00024C1F" w:rsidRPr="00240A8F" w:rsidRDefault="00081504" w:rsidP="001930F4">
            <w:pPr>
              <w:spacing w:before="20" w:after="20" w:line="276" w:lineRule="auto"/>
              <w:jc w:val="center"/>
              <w:rPr>
                <w:rFonts w:cs="Times New Roman"/>
                <w:b w:val="0"/>
                <w:sz w:val="22"/>
                <w:szCs w:val="22"/>
              </w:rPr>
            </w:pPr>
            <w:r w:rsidRPr="00240A8F">
              <w:rPr>
                <w:rFonts w:cs="Times New Roman"/>
                <w:b w:val="0"/>
                <w:sz w:val="22"/>
                <w:szCs w:val="22"/>
              </w:rPr>
              <w:t>44</w:t>
            </w:r>
            <w:r w:rsidRPr="00240A8F">
              <w:rPr>
                <w:rFonts w:cs="Times New Roman"/>
                <w:b w:val="0"/>
                <w:sz w:val="22"/>
                <w:szCs w:val="22"/>
              </w:rPr>
              <w:br/>
            </w:r>
            <w:r w:rsidR="002F62BB" w:rsidRPr="00240A8F">
              <w:rPr>
                <w:rFonts w:cs="Times New Roman"/>
                <w:b w:val="0"/>
                <w:sz w:val="22"/>
                <w:szCs w:val="22"/>
              </w:rPr>
              <w:t>(23, 65)</w:t>
            </w:r>
          </w:p>
          <w:p w14:paraId="60CBC085"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&lt;0.0001</w:t>
            </w:r>
          </w:p>
        </w:tc>
        <w:tc>
          <w:tcPr>
            <w:tcW w:w="1560" w:type="dxa"/>
          </w:tcPr>
          <w:p w14:paraId="03A59EDD"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601</w:t>
            </w:r>
          </w:p>
          <w:p w14:paraId="03CC3105"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1 (8.3)</w:t>
            </w:r>
          </w:p>
          <w:p w14:paraId="4B815127" w14:textId="77777777" w:rsidR="00BD7676"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r w:rsidR="00BD7676" w:rsidRPr="00240A8F">
              <w:rPr>
                <w:rFonts w:cs="Times New Roman"/>
                <w:b w:val="0"/>
                <w:sz w:val="22"/>
                <w:szCs w:val="22"/>
              </w:rPr>
              <w:br/>
            </w:r>
            <w:r w:rsidRPr="00240A8F">
              <w:rPr>
                <w:rFonts w:cs="Times New Roman"/>
                <w:b w:val="0"/>
                <w:sz w:val="22"/>
                <w:szCs w:val="22"/>
              </w:rPr>
              <w:t>–</w:t>
            </w:r>
          </w:p>
          <w:p w14:paraId="3B1311D2" w14:textId="77777777" w:rsidR="00081504"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p>
        </w:tc>
      </w:tr>
      <w:tr w:rsidR="007E5998" w:rsidRPr="00240A8F" w14:paraId="4FF542F4" w14:textId="77777777" w:rsidTr="00081504">
        <w:trPr>
          <w:cantSplit/>
        </w:trPr>
        <w:tc>
          <w:tcPr>
            <w:tcW w:w="9498" w:type="dxa"/>
            <w:gridSpan w:val="4"/>
          </w:tcPr>
          <w:p w14:paraId="31D192B0" w14:textId="77777777" w:rsidR="007E5998" w:rsidRPr="00240A8F" w:rsidRDefault="007E5998" w:rsidP="00D8573E">
            <w:pPr>
              <w:spacing w:before="20" w:after="20" w:line="276" w:lineRule="auto"/>
              <w:rPr>
                <w:rFonts w:cs="Times New Roman"/>
                <w:sz w:val="22"/>
                <w:szCs w:val="22"/>
              </w:rPr>
            </w:pPr>
            <w:r w:rsidRPr="00240A8F">
              <w:rPr>
                <w:rFonts w:cs="Times New Roman"/>
                <w:sz w:val="22"/>
                <w:szCs w:val="22"/>
              </w:rPr>
              <w:t>Time to first moderate/severe COPD exacerbation</w:t>
            </w:r>
          </w:p>
        </w:tc>
      </w:tr>
      <w:tr w:rsidR="00024C1F" w:rsidRPr="00240A8F" w14:paraId="1B53250A" w14:textId="77777777" w:rsidTr="00081504">
        <w:trPr>
          <w:cantSplit/>
        </w:trPr>
        <w:tc>
          <w:tcPr>
            <w:tcW w:w="4253" w:type="dxa"/>
          </w:tcPr>
          <w:p w14:paraId="0F165C64"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Patients with exacerbation, n (%)</w:t>
            </w:r>
          </w:p>
          <w:p w14:paraId="67E32252" w14:textId="77777777" w:rsidR="00081504" w:rsidRPr="00240A8F" w:rsidRDefault="00024C1F" w:rsidP="00081504">
            <w:pPr>
              <w:spacing w:before="20" w:after="20" w:line="276" w:lineRule="auto"/>
              <w:ind w:left="851" w:hanging="284"/>
              <w:rPr>
                <w:rFonts w:cs="Times New Roman"/>
                <w:b w:val="0"/>
                <w:i/>
                <w:sz w:val="22"/>
                <w:szCs w:val="22"/>
              </w:rPr>
            </w:pPr>
            <w:r w:rsidRPr="00240A8F">
              <w:rPr>
                <w:rFonts w:cs="Times New Roman"/>
                <w:b w:val="0"/>
                <w:sz w:val="22"/>
                <w:szCs w:val="22"/>
              </w:rPr>
              <w:t xml:space="preserve">HR </w:t>
            </w:r>
            <w:r w:rsidR="00BE31D4" w:rsidRPr="00240A8F">
              <w:rPr>
                <w:rFonts w:cs="Times New Roman"/>
                <w:b w:val="0"/>
                <w:i/>
                <w:sz w:val="22"/>
                <w:szCs w:val="22"/>
              </w:rPr>
              <w:t>versus</w:t>
            </w:r>
            <w:r w:rsidR="00081504" w:rsidRPr="00240A8F">
              <w:rPr>
                <w:rFonts w:cs="Times New Roman"/>
                <w:b w:val="0"/>
                <w:sz w:val="22"/>
                <w:szCs w:val="22"/>
              </w:rPr>
              <w:t xml:space="preserve"> FF MDI </w:t>
            </w:r>
            <w:r w:rsidR="00081504" w:rsidRPr="00240A8F">
              <w:rPr>
                <w:rFonts w:cs="Times New Roman"/>
                <w:b w:val="0"/>
                <w:sz w:val="22"/>
                <w:szCs w:val="22"/>
              </w:rPr>
              <w:br/>
            </w:r>
            <w:r w:rsidRPr="00240A8F">
              <w:rPr>
                <w:rFonts w:cs="Times New Roman"/>
                <w:b w:val="0"/>
                <w:sz w:val="22"/>
                <w:szCs w:val="22"/>
              </w:rPr>
              <w:t>(95% CI)</w:t>
            </w:r>
          </w:p>
          <w:p w14:paraId="0FA89442" w14:textId="77777777" w:rsidR="00024C1F" w:rsidRPr="00240A8F" w:rsidRDefault="00C80EC6" w:rsidP="00BC47F5">
            <w:pPr>
              <w:spacing w:before="20" w:after="20" w:line="276" w:lineRule="auto"/>
              <w:ind w:left="567"/>
              <w:rPr>
                <w:rFonts w:cs="Times New Roman"/>
                <w:b w:val="0"/>
                <w:sz w:val="22"/>
                <w:szCs w:val="22"/>
              </w:rPr>
            </w:pPr>
            <w:r w:rsidRPr="00240A8F">
              <w:rPr>
                <w:rFonts w:cs="Times New Roman"/>
                <w:b w:val="0"/>
                <w:sz w:val="22"/>
                <w:szCs w:val="22"/>
              </w:rPr>
              <w:t>p-</w:t>
            </w:r>
            <w:r w:rsidR="00024C1F" w:rsidRPr="00240A8F">
              <w:rPr>
                <w:rFonts w:cs="Times New Roman"/>
                <w:b w:val="0"/>
                <w:sz w:val="22"/>
                <w:szCs w:val="22"/>
              </w:rPr>
              <w:t>value</w:t>
            </w:r>
          </w:p>
        </w:tc>
        <w:tc>
          <w:tcPr>
            <w:tcW w:w="1843" w:type="dxa"/>
          </w:tcPr>
          <w:p w14:paraId="514C741A"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220 (35.5)</w:t>
            </w:r>
          </w:p>
          <w:p w14:paraId="7D0EF843" w14:textId="5018D73C"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0.827</w:t>
            </w:r>
            <w:r w:rsidR="00081504" w:rsidRPr="00240A8F">
              <w:rPr>
                <w:rFonts w:cs="Times New Roman"/>
                <w:b w:val="0"/>
                <w:sz w:val="22"/>
                <w:szCs w:val="22"/>
              </w:rPr>
              <w:br/>
            </w:r>
            <w:r w:rsidRPr="00240A8F">
              <w:rPr>
                <w:rFonts w:cs="Times New Roman"/>
                <w:b w:val="0"/>
                <w:sz w:val="22"/>
                <w:szCs w:val="22"/>
              </w:rPr>
              <w:t>(0.688, 0.995)</w:t>
            </w:r>
          </w:p>
          <w:p w14:paraId="425714FB" w14:textId="77777777" w:rsidR="00024C1F" w:rsidRPr="00240A8F" w:rsidRDefault="00EE4B62" w:rsidP="00C80EC6">
            <w:pPr>
              <w:spacing w:before="20" w:after="20" w:line="276" w:lineRule="auto"/>
              <w:jc w:val="center"/>
              <w:rPr>
                <w:rFonts w:cs="Times New Roman"/>
                <w:b w:val="0"/>
                <w:sz w:val="22"/>
                <w:szCs w:val="22"/>
              </w:rPr>
            </w:pPr>
            <w:r w:rsidRPr="00240A8F">
              <w:rPr>
                <w:rFonts w:cs="Times New Roman"/>
                <w:b w:val="0"/>
                <w:sz w:val="22"/>
                <w:szCs w:val="22"/>
              </w:rPr>
              <w:t>0.0</w:t>
            </w:r>
            <w:r w:rsidR="00024C1F" w:rsidRPr="00240A8F">
              <w:rPr>
                <w:rFonts w:cs="Times New Roman"/>
                <w:b w:val="0"/>
                <w:sz w:val="22"/>
                <w:szCs w:val="22"/>
              </w:rPr>
              <w:t>441</w:t>
            </w:r>
            <w:r w:rsidR="00C80EC6" w:rsidRPr="00240A8F">
              <w:rPr>
                <w:rFonts w:cs="Times New Roman"/>
                <w:b w:val="0"/>
                <w:sz w:val="22"/>
                <w:szCs w:val="22"/>
                <w:vertAlign w:val="superscript"/>
              </w:rPr>
              <w:t>#</w:t>
            </w:r>
          </w:p>
        </w:tc>
        <w:tc>
          <w:tcPr>
            <w:tcW w:w="1842" w:type="dxa"/>
          </w:tcPr>
          <w:p w14:paraId="21CCB7BA"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223 (36.1)</w:t>
            </w:r>
          </w:p>
          <w:p w14:paraId="45B12C8B" w14:textId="618707BE" w:rsidR="00024C1F" w:rsidRPr="00240A8F" w:rsidRDefault="00081504" w:rsidP="001930F4">
            <w:pPr>
              <w:spacing w:before="20" w:after="20" w:line="276" w:lineRule="auto"/>
              <w:jc w:val="center"/>
              <w:rPr>
                <w:rFonts w:cs="Times New Roman"/>
                <w:b w:val="0"/>
                <w:sz w:val="22"/>
                <w:szCs w:val="22"/>
              </w:rPr>
            </w:pPr>
            <w:r w:rsidRPr="00240A8F">
              <w:rPr>
                <w:rFonts w:cs="Times New Roman"/>
                <w:b w:val="0"/>
                <w:sz w:val="22"/>
                <w:szCs w:val="22"/>
              </w:rPr>
              <w:t>0.803</w:t>
            </w:r>
            <w:r w:rsidRPr="00240A8F">
              <w:rPr>
                <w:rFonts w:cs="Times New Roman"/>
                <w:b w:val="0"/>
                <w:sz w:val="22"/>
                <w:szCs w:val="22"/>
              </w:rPr>
              <w:br/>
            </w:r>
            <w:r w:rsidR="00024C1F" w:rsidRPr="00240A8F">
              <w:rPr>
                <w:rFonts w:cs="Times New Roman"/>
                <w:b w:val="0"/>
                <w:sz w:val="22"/>
                <w:szCs w:val="22"/>
              </w:rPr>
              <w:t>(0.668, 0.966)</w:t>
            </w:r>
          </w:p>
          <w:p w14:paraId="39069F65"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0.0198</w:t>
            </w:r>
          </w:p>
        </w:tc>
        <w:tc>
          <w:tcPr>
            <w:tcW w:w="1560" w:type="dxa"/>
          </w:tcPr>
          <w:p w14:paraId="4E1DC9CC"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241 (39.7)</w:t>
            </w:r>
          </w:p>
          <w:p w14:paraId="67D3645C" w14:textId="77777777" w:rsidR="00BD7676"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r w:rsidR="00BD7676" w:rsidRPr="00240A8F">
              <w:rPr>
                <w:rFonts w:cs="Times New Roman"/>
                <w:b w:val="0"/>
                <w:sz w:val="22"/>
                <w:szCs w:val="22"/>
              </w:rPr>
              <w:br/>
            </w:r>
            <w:r w:rsidRPr="00240A8F">
              <w:rPr>
                <w:rFonts w:cs="Times New Roman"/>
                <w:b w:val="0"/>
                <w:sz w:val="22"/>
                <w:szCs w:val="22"/>
              </w:rPr>
              <w:t>–</w:t>
            </w:r>
          </w:p>
          <w:p w14:paraId="33BE01AD" w14:textId="77777777" w:rsidR="00024C1F"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p>
        </w:tc>
      </w:tr>
      <w:tr w:rsidR="007E5998" w:rsidRPr="00240A8F" w14:paraId="7CB7F417" w14:textId="77777777" w:rsidTr="00081504">
        <w:trPr>
          <w:cantSplit/>
        </w:trPr>
        <w:tc>
          <w:tcPr>
            <w:tcW w:w="9498" w:type="dxa"/>
            <w:gridSpan w:val="4"/>
          </w:tcPr>
          <w:p w14:paraId="5FC0A648" w14:textId="77777777" w:rsidR="007E5998" w:rsidRPr="00240A8F" w:rsidRDefault="007E5998" w:rsidP="00D8573E">
            <w:pPr>
              <w:spacing w:before="20" w:after="20" w:line="276" w:lineRule="auto"/>
              <w:rPr>
                <w:rFonts w:cs="Times New Roman"/>
                <w:sz w:val="22"/>
                <w:szCs w:val="22"/>
                <w:vertAlign w:val="superscript"/>
              </w:rPr>
            </w:pPr>
            <w:r w:rsidRPr="00240A8F">
              <w:rPr>
                <w:rFonts w:cs="Times New Roman"/>
                <w:sz w:val="22"/>
                <w:szCs w:val="22"/>
              </w:rPr>
              <w:t>Time to first CID</w:t>
            </w:r>
            <w:r w:rsidR="00C80EC6" w:rsidRPr="00240A8F">
              <w:rPr>
                <w:rFonts w:cs="Times New Roman"/>
                <w:sz w:val="22"/>
                <w:szCs w:val="22"/>
                <w:vertAlign w:val="superscript"/>
              </w:rPr>
              <w:t>¶</w:t>
            </w:r>
            <w:r w:rsidRPr="00240A8F">
              <w:rPr>
                <w:rFonts w:cs="Times New Roman"/>
                <w:sz w:val="22"/>
                <w:szCs w:val="22"/>
              </w:rPr>
              <w:t xml:space="preserve"> </w:t>
            </w:r>
          </w:p>
        </w:tc>
      </w:tr>
      <w:tr w:rsidR="00024C1F" w:rsidRPr="00240A8F" w14:paraId="410B4FF2" w14:textId="77777777" w:rsidTr="00081504">
        <w:trPr>
          <w:cantSplit/>
        </w:trPr>
        <w:tc>
          <w:tcPr>
            <w:tcW w:w="4253" w:type="dxa"/>
          </w:tcPr>
          <w:p w14:paraId="381C11B0"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Patients with ≥1 CID, n (%)</w:t>
            </w:r>
          </w:p>
          <w:p w14:paraId="27DF662E" w14:textId="77777777" w:rsidR="00081504" w:rsidRPr="00240A8F" w:rsidRDefault="00024C1F" w:rsidP="00081504">
            <w:pPr>
              <w:spacing w:before="20" w:after="20" w:line="276" w:lineRule="auto"/>
              <w:ind w:left="851" w:hanging="284"/>
              <w:rPr>
                <w:rFonts w:cs="Times New Roman"/>
                <w:b w:val="0"/>
                <w:sz w:val="22"/>
                <w:szCs w:val="22"/>
              </w:rPr>
            </w:pPr>
            <w:r w:rsidRPr="00240A8F">
              <w:rPr>
                <w:rFonts w:cs="Times New Roman"/>
                <w:b w:val="0"/>
                <w:sz w:val="22"/>
                <w:szCs w:val="22"/>
              </w:rPr>
              <w:t xml:space="preserve">HR </w:t>
            </w:r>
            <w:r w:rsidR="00BE31D4" w:rsidRPr="00240A8F">
              <w:rPr>
                <w:rFonts w:cs="Times New Roman"/>
                <w:b w:val="0"/>
                <w:i/>
                <w:sz w:val="22"/>
                <w:szCs w:val="22"/>
              </w:rPr>
              <w:t>versus</w:t>
            </w:r>
            <w:r w:rsidR="00081504" w:rsidRPr="00240A8F">
              <w:rPr>
                <w:rFonts w:cs="Times New Roman"/>
                <w:b w:val="0"/>
                <w:sz w:val="22"/>
                <w:szCs w:val="22"/>
              </w:rPr>
              <w:t xml:space="preserve"> FF MDI</w:t>
            </w:r>
            <w:r w:rsidR="00081504" w:rsidRPr="00240A8F">
              <w:rPr>
                <w:rFonts w:cs="Times New Roman"/>
                <w:b w:val="0"/>
                <w:sz w:val="22"/>
                <w:szCs w:val="22"/>
              </w:rPr>
              <w:br/>
            </w:r>
            <w:r w:rsidRPr="00240A8F">
              <w:rPr>
                <w:rFonts w:cs="Times New Roman"/>
                <w:b w:val="0"/>
                <w:sz w:val="22"/>
                <w:szCs w:val="22"/>
              </w:rPr>
              <w:t>(95% CI)</w:t>
            </w:r>
          </w:p>
          <w:p w14:paraId="405FB300" w14:textId="77777777" w:rsidR="00024C1F" w:rsidRPr="00240A8F" w:rsidRDefault="00C80EC6" w:rsidP="00081504">
            <w:pPr>
              <w:spacing w:before="20" w:after="20" w:line="276" w:lineRule="auto"/>
              <w:ind w:left="851" w:hanging="284"/>
              <w:rPr>
                <w:rFonts w:cs="Times New Roman"/>
                <w:b w:val="0"/>
                <w:sz w:val="22"/>
                <w:szCs w:val="22"/>
              </w:rPr>
            </w:pPr>
            <w:r w:rsidRPr="00240A8F">
              <w:rPr>
                <w:rFonts w:cs="Times New Roman"/>
                <w:b w:val="0"/>
                <w:sz w:val="22"/>
                <w:szCs w:val="22"/>
              </w:rPr>
              <w:t>p-</w:t>
            </w:r>
            <w:r w:rsidR="00024C1F" w:rsidRPr="00240A8F">
              <w:rPr>
                <w:rFonts w:cs="Times New Roman"/>
                <w:b w:val="0"/>
                <w:sz w:val="22"/>
                <w:szCs w:val="22"/>
              </w:rPr>
              <w:t>value</w:t>
            </w:r>
          </w:p>
        </w:tc>
        <w:tc>
          <w:tcPr>
            <w:tcW w:w="1843" w:type="dxa"/>
          </w:tcPr>
          <w:p w14:paraId="3262DAFF"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469 (75.8)</w:t>
            </w:r>
          </w:p>
          <w:p w14:paraId="157833DE" w14:textId="39C91424" w:rsidR="00024C1F" w:rsidRPr="00240A8F" w:rsidRDefault="00081504" w:rsidP="001930F4">
            <w:pPr>
              <w:spacing w:before="20" w:after="20" w:line="276" w:lineRule="auto"/>
              <w:jc w:val="center"/>
              <w:rPr>
                <w:rFonts w:cs="Times New Roman"/>
                <w:b w:val="0"/>
                <w:sz w:val="22"/>
                <w:szCs w:val="22"/>
              </w:rPr>
            </w:pPr>
            <w:r w:rsidRPr="00240A8F">
              <w:rPr>
                <w:rFonts w:cs="Times New Roman"/>
                <w:b w:val="0"/>
                <w:sz w:val="22"/>
                <w:szCs w:val="22"/>
              </w:rPr>
              <w:t>0.830</w:t>
            </w:r>
            <w:r w:rsidRPr="00240A8F">
              <w:rPr>
                <w:rFonts w:cs="Times New Roman"/>
                <w:b w:val="0"/>
                <w:sz w:val="22"/>
                <w:szCs w:val="22"/>
              </w:rPr>
              <w:br/>
            </w:r>
            <w:r w:rsidR="00024C1F" w:rsidRPr="00240A8F">
              <w:rPr>
                <w:rFonts w:cs="Times New Roman"/>
                <w:b w:val="0"/>
                <w:sz w:val="22"/>
                <w:szCs w:val="22"/>
              </w:rPr>
              <w:t>(0.730, 0.944)</w:t>
            </w:r>
          </w:p>
          <w:p w14:paraId="3F6A8D36"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0.0044</w:t>
            </w:r>
          </w:p>
        </w:tc>
        <w:tc>
          <w:tcPr>
            <w:tcW w:w="1842" w:type="dxa"/>
          </w:tcPr>
          <w:p w14:paraId="75B827FB"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462 (74.9)</w:t>
            </w:r>
          </w:p>
          <w:p w14:paraId="34E2C072" w14:textId="44B223C3"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0.</w:t>
            </w:r>
            <w:r w:rsidR="00081504" w:rsidRPr="00240A8F">
              <w:rPr>
                <w:rFonts w:cs="Times New Roman"/>
                <w:b w:val="0"/>
                <w:sz w:val="22"/>
                <w:szCs w:val="22"/>
              </w:rPr>
              <w:t>783</w:t>
            </w:r>
            <w:r w:rsidR="00081504" w:rsidRPr="00240A8F">
              <w:rPr>
                <w:rFonts w:cs="Times New Roman"/>
                <w:b w:val="0"/>
                <w:sz w:val="22"/>
                <w:szCs w:val="22"/>
              </w:rPr>
              <w:br/>
            </w:r>
            <w:r w:rsidRPr="00240A8F">
              <w:rPr>
                <w:rFonts w:cs="Times New Roman"/>
                <w:b w:val="0"/>
                <w:sz w:val="22"/>
                <w:szCs w:val="22"/>
              </w:rPr>
              <w:t>(0.689, 0.890)</w:t>
            </w:r>
          </w:p>
          <w:p w14:paraId="79FD9D6B"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0.0002</w:t>
            </w:r>
          </w:p>
        </w:tc>
        <w:tc>
          <w:tcPr>
            <w:tcW w:w="1560" w:type="dxa"/>
          </w:tcPr>
          <w:p w14:paraId="118D0111"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491 (80.9)</w:t>
            </w:r>
          </w:p>
          <w:p w14:paraId="696EB1EE" w14:textId="77777777" w:rsidR="00BD7676"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r w:rsidR="00BD7676" w:rsidRPr="00240A8F">
              <w:rPr>
                <w:rFonts w:cs="Times New Roman"/>
                <w:b w:val="0"/>
                <w:sz w:val="22"/>
                <w:szCs w:val="22"/>
              </w:rPr>
              <w:br/>
            </w:r>
            <w:r w:rsidRPr="00240A8F">
              <w:rPr>
                <w:rFonts w:cs="Times New Roman"/>
                <w:b w:val="0"/>
                <w:sz w:val="22"/>
                <w:szCs w:val="22"/>
              </w:rPr>
              <w:t>–</w:t>
            </w:r>
          </w:p>
          <w:p w14:paraId="56ACDF9C" w14:textId="77777777" w:rsidR="00024C1F"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p>
        </w:tc>
      </w:tr>
      <w:tr w:rsidR="007E5998" w:rsidRPr="00240A8F" w14:paraId="1F7850D6" w14:textId="77777777" w:rsidTr="00081504">
        <w:trPr>
          <w:cantSplit/>
        </w:trPr>
        <w:tc>
          <w:tcPr>
            <w:tcW w:w="9498" w:type="dxa"/>
            <w:gridSpan w:val="4"/>
          </w:tcPr>
          <w:p w14:paraId="6A06BC72" w14:textId="77777777" w:rsidR="007E5998" w:rsidRPr="00240A8F" w:rsidRDefault="007E5998" w:rsidP="00D8573E">
            <w:pPr>
              <w:spacing w:before="20" w:after="20" w:line="276" w:lineRule="auto"/>
              <w:rPr>
                <w:rFonts w:cs="Times New Roman"/>
                <w:sz w:val="22"/>
                <w:szCs w:val="22"/>
              </w:rPr>
            </w:pPr>
            <w:r w:rsidRPr="00240A8F">
              <w:rPr>
                <w:rFonts w:cs="Times New Roman"/>
                <w:sz w:val="22"/>
                <w:szCs w:val="22"/>
              </w:rPr>
              <w:t>Change from baseline in average daily rescue medication use (puffs/day) over 24 weeks</w:t>
            </w:r>
          </w:p>
        </w:tc>
      </w:tr>
      <w:tr w:rsidR="00024C1F" w:rsidRPr="00240A8F" w14:paraId="25AD3DEA" w14:textId="77777777" w:rsidTr="00081504">
        <w:trPr>
          <w:cantSplit/>
        </w:trPr>
        <w:tc>
          <w:tcPr>
            <w:tcW w:w="4253" w:type="dxa"/>
          </w:tcPr>
          <w:p w14:paraId="65C1D90A"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N</w:t>
            </w:r>
          </w:p>
          <w:p w14:paraId="58B0306B"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LSM (SE)</w:t>
            </w:r>
          </w:p>
          <w:p w14:paraId="7A3E6643" w14:textId="77777777" w:rsidR="00BC47F5" w:rsidRPr="00240A8F" w:rsidRDefault="00024C1F" w:rsidP="00081504">
            <w:pPr>
              <w:spacing w:before="20" w:after="20" w:line="276" w:lineRule="auto"/>
              <w:ind w:left="851" w:hanging="284"/>
              <w:rPr>
                <w:rFonts w:cs="Times New Roman"/>
                <w:b w:val="0"/>
                <w:sz w:val="22"/>
                <w:szCs w:val="22"/>
              </w:rPr>
            </w:pPr>
            <w:r w:rsidRPr="00240A8F">
              <w:rPr>
                <w:rFonts w:cs="Times New Roman"/>
                <w:b w:val="0"/>
                <w:sz w:val="22"/>
                <w:szCs w:val="22"/>
              </w:rPr>
              <w:t>LSM difference</w:t>
            </w:r>
            <w:r w:rsidR="00081504" w:rsidRPr="00240A8F">
              <w:rPr>
                <w:rFonts w:cs="Times New Roman"/>
                <w:b w:val="0"/>
                <w:sz w:val="22"/>
                <w:szCs w:val="22"/>
              </w:rPr>
              <w:t xml:space="preserve"> </w:t>
            </w:r>
            <w:r w:rsidR="00BE31D4" w:rsidRPr="00240A8F">
              <w:rPr>
                <w:rFonts w:cs="Times New Roman"/>
                <w:b w:val="0"/>
                <w:i/>
                <w:sz w:val="22"/>
                <w:szCs w:val="22"/>
              </w:rPr>
              <w:t>versus</w:t>
            </w:r>
            <w:r w:rsidR="00081504" w:rsidRPr="00240A8F">
              <w:rPr>
                <w:rFonts w:cs="Times New Roman"/>
                <w:b w:val="0"/>
                <w:sz w:val="22"/>
                <w:szCs w:val="22"/>
              </w:rPr>
              <w:t xml:space="preserve"> FF MDI</w:t>
            </w:r>
            <w:r w:rsidR="00081504" w:rsidRPr="00240A8F">
              <w:rPr>
                <w:rFonts w:cs="Times New Roman"/>
                <w:b w:val="0"/>
                <w:sz w:val="22"/>
                <w:szCs w:val="22"/>
              </w:rPr>
              <w:br/>
            </w:r>
            <w:r w:rsidRPr="00240A8F">
              <w:rPr>
                <w:rFonts w:cs="Times New Roman"/>
                <w:b w:val="0"/>
                <w:sz w:val="22"/>
                <w:szCs w:val="22"/>
              </w:rPr>
              <w:t>(95% CI)</w:t>
            </w:r>
          </w:p>
          <w:p w14:paraId="46E62009" w14:textId="77777777" w:rsidR="00024C1F" w:rsidRPr="00240A8F" w:rsidRDefault="00C80EC6" w:rsidP="00024C1F">
            <w:pPr>
              <w:spacing w:before="20" w:after="20" w:line="276" w:lineRule="auto"/>
              <w:ind w:left="851" w:hanging="284"/>
              <w:rPr>
                <w:rFonts w:cs="Times New Roman"/>
                <w:b w:val="0"/>
                <w:sz w:val="22"/>
                <w:szCs w:val="22"/>
              </w:rPr>
            </w:pPr>
            <w:r w:rsidRPr="00240A8F">
              <w:rPr>
                <w:rFonts w:cs="Times New Roman"/>
                <w:b w:val="0"/>
                <w:sz w:val="22"/>
                <w:szCs w:val="22"/>
              </w:rPr>
              <w:t>p-</w:t>
            </w:r>
            <w:r w:rsidR="00024C1F" w:rsidRPr="00240A8F">
              <w:rPr>
                <w:rFonts w:cs="Times New Roman"/>
                <w:b w:val="0"/>
                <w:sz w:val="22"/>
                <w:szCs w:val="22"/>
              </w:rPr>
              <w:t>value</w:t>
            </w:r>
          </w:p>
        </w:tc>
        <w:tc>
          <w:tcPr>
            <w:tcW w:w="1843" w:type="dxa"/>
          </w:tcPr>
          <w:p w14:paraId="0567D150"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612</w:t>
            </w:r>
          </w:p>
          <w:p w14:paraId="7AD5ADF2"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−1.0 (0.10)</w:t>
            </w:r>
          </w:p>
          <w:p w14:paraId="727F0C7B" w14:textId="5930CB1E" w:rsidR="00BC47F5"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w:t>
            </w:r>
            <w:r w:rsidR="00081504" w:rsidRPr="00240A8F">
              <w:rPr>
                <w:rFonts w:cs="Times New Roman"/>
                <w:b w:val="0"/>
                <w:sz w:val="22"/>
                <w:szCs w:val="22"/>
              </w:rPr>
              <w:t>0.36</w:t>
            </w:r>
            <w:r w:rsidR="00081504" w:rsidRPr="00240A8F">
              <w:rPr>
                <w:rFonts w:cs="Times New Roman"/>
                <w:b w:val="0"/>
                <w:sz w:val="22"/>
                <w:szCs w:val="22"/>
              </w:rPr>
              <w:br/>
            </w:r>
            <w:r w:rsidRPr="00240A8F">
              <w:rPr>
                <w:rFonts w:cs="Times New Roman"/>
                <w:b w:val="0"/>
                <w:sz w:val="22"/>
                <w:szCs w:val="22"/>
              </w:rPr>
              <w:t>(−0.61, −0.11)</w:t>
            </w:r>
          </w:p>
          <w:p w14:paraId="0F0EB65C"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 xml:space="preserve"> 0.0052</w:t>
            </w:r>
          </w:p>
        </w:tc>
        <w:tc>
          <w:tcPr>
            <w:tcW w:w="1842" w:type="dxa"/>
          </w:tcPr>
          <w:p w14:paraId="42769BA6"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610</w:t>
            </w:r>
          </w:p>
          <w:p w14:paraId="5B3DF9EF"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−1.0 (0.09)</w:t>
            </w:r>
          </w:p>
          <w:p w14:paraId="73AA1C5D" w14:textId="0A1A24CD" w:rsidR="00BC47F5"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w:t>
            </w:r>
            <w:r w:rsidR="00081504" w:rsidRPr="00240A8F">
              <w:rPr>
                <w:rFonts w:cs="Times New Roman"/>
                <w:b w:val="0"/>
                <w:sz w:val="22"/>
                <w:szCs w:val="22"/>
              </w:rPr>
              <w:t>0.34</w:t>
            </w:r>
            <w:r w:rsidR="00081504" w:rsidRPr="00240A8F">
              <w:rPr>
                <w:rFonts w:cs="Times New Roman"/>
                <w:b w:val="0"/>
                <w:sz w:val="22"/>
                <w:szCs w:val="22"/>
              </w:rPr>
              <w:br/>
            </w:r>
            <w:r w:rsidRPr="00240A8F">
              <w:rPr>
                <w:rFonts w:cs="Times New Roman"/>
                <w:b w:val="0"/>
                <w:sz w:val="22"/>
                <w:szCs w:val="22"/>
              </w:rPr>
              <w:t>(−0.59, −0.09)</w:t>
            </w:r>
          </w:p>
          <w:p w14:paraId="600F141E"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0.0088</w:t>
            </w:r>
          </w:p>
        </w:tc>
        <w:tc>
          <w:tcPr>
            <w:tcW w:w="1560" w:type="dxa"/>
          </w:tcPr>
          <w:p w14:paraId="3D83B850"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599</w:t>
            </w:r>
          </w:p>
          <w:p w14:paraId="0142A0BF" w14:textId="77777777" w:rsidR="00BD7676" w:rsidRPr="00240A8F" w:rsidRDefault="00024C1F" w:rsidP="00BD7676">
            <w:pPr>
              <w:spacing w:before="20" w:after="20" w:line="276" w:lineRule="auto"/>
              <w:jc w:val="center"/>
              <w:rPr>
                <w:rFonts w:cs="Times New Roman"/>
                <w:b w:val="0"/>
                <w:sz w:val="22"/>
                <w:szCs w:val="22"/>
              </w:rPr>
            </w:pPr>
            <w:r w:rsidRPr="00240A8F">
              <w:rPr>
                <w:rFonts w:cs="Times New Roman"/>
                <w:b w:val="0"/>
                <w:sz w:val="22"/>
                <w:szCs w:val="22"/>
              </w:rPr>
              <w:t>−0.6 (0.10)</w:t>
            </w:r>
            <w:r w:rsidR="00BC47F5" w:rsidRPr="00240A8F">
              <w:rPr>
                <w:rFonts w:cs="Times New Roman"/>
                <w:b w:val="0"/>
                <w:sz w:val="22"/>
                <w:szCs w:val="22"/>
              </w:rPr>
              <w:br/>
            </w:r>
            <w:r w:rsidR="00BC5BA0" w:rsidRPr="00240A8F">
              <w:rPr>
                <w:rFonts w:cs="Times New Roman"/>
                <w:b w:val="0"/>
                <w:sz w:val="22"/>
                <w:szCs w:val="22"/>
              </w:rPr>
              <w:t>–</w:t>
            </w:r>
            <w:r w:rsidR="00BD7676" w:rsidRPr="00240A8F">
              <w:rPr>
                <w:rFonts w:cs="Times New Roman"/>
                <w:b w:val="0"/>
                <w:sz w:val="22"/>
                <w:szCs w:val="22"/>
              </w:rPr>
              <w:br/>
            </w:r>
            <w:r w:rsidR="00BC5BA0" w:rsidRPr="00240A8F">
              <w:rPr>
                <w:rFonts w:cs="Times New Roman"/>
                <w:b w:val="0"/>
                <w:sz w:val="22"/>
                <w:szCs w:val="22"/>
              </w:rPr>
              <w:t>–</w:t>
            </w:r>
          </w:p>
          <w:p w14:paraId="741D5E08" w14:textId="77777777" w:rsidR="00024C1F"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p>
        </w:tc>
      </w:tr>
      <w:tr w:rsidR="007E5998" w:rsidRPr="00240A8F" w14:paraId="117FB5A2" w14:textId="77777777" w:rsidTr="00081504">
        <w:trPr>
          <w:cantSplit/>
        </w:trPr>
        <w:tc>
          <w:tcPr>
            <w:tcW w:w="9498" w:type="dxa"/>
            <w:gridSpan w:val="4"/>
          </w:tcPr>
          <w:p w14:paraId="022CF355" w14:textId="77777777" w:rsidR="007E5998" w:rsidRPr="00240A8F" w:rsidRDefault="007E5998" w:rsidP="00D8573E">
            <w:pPr>
              <w:spacing w:before="20" w:after="20" w:line="276" w:lineRule="auto"/>
              <w:rPr>
                <w:rFonts w:cs="Times New Roman"/>
                <w:sz w:val="22"/>
                <w:szCs w:val="22"/>
              </w:rPr>
            </w:pPr>
            <w:r w:rsidRPr="00240A8F">
              <w:rPr>
                <w:rFonts w:cs="Times New Roman"/>
                <w:sz w:val="22"/>
                <w:szCs w:val="22"/>
              </w:rPr>
              <w:t>Percentage of patients achieving an MCID of ≥4 units in SGRQ total score over 24 weeks</w:t>
            </w:r>
          </w:p>
        </w:tc>
      </w:tr>
      <w:tr w:rsidR="00024C1F" w:rsidRPr="00240A8F" w14:paraId="7EEA4126" w14:textId="77777777" w:rsidTr="00081504">
        <w:trPr>
          <w:cantSplit/>
        </w:trPr>
        <w:tc>
          <w:tcPr>
            <w:tcW w:w="4253" w:type="dxa"/>
          </w:tcPr>
          <w:p w14:paraId="6B67D2B4"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Responders, n (%)</w:t>
            </w:r>
          </w:p>
          <w:p w14:paraId="090B45D8" w14:textId="77777777" w:rsidR="00081504" w:rsidRPr="00240A8F" w:rsidRDefault="00024C1F" w:rsidP="00081504">
            <w:pPr>
              <w:spacing w:before="20" w:after="20" w:line="276" w:lineRule="auto"/>
              <w:ind w:left="851" w:hanging="284"/>
              <w:rPr>
                <w:rFonts w:cs="Times New Roman"/>
                <w:b w:val="0"/>
                <w:i/>
                <w:sz w:val="22"/>
                <w:szCs w:val="22"/>
              </w:rPr>
            </w:pPr>
            <w:r w:rsidRPr="00240A8F">
              <w:rPr>
                <w:rFonts w:cs="Times New Roman"/>
                <w:b w:val="0"/>
                <w:sz w:val="22"/>
                <w:szCs w:val="22"/>
              </w:rPr>
              <w:t>Difference</w:t>
            </w:r>
            <w:r w:rsidR="00081504" w:rsidRPr="00240A8F">
              <w:rPr>
                <w:rFonts w:cs="Times New Roman"/>
                <w:b w:val="0"/>
                <w:sz w:val="22"/>
                <w:szCs w:val="22"/>
              </w:rPr>
              <w:t xml:space="preserve"> </w:t>
            </w:r>
            <w:r w:rsidR="00BE31D4" w:rsidRPr="00240A8F">
              <w:rPr>
                <w:rFonts w:cs="Times New Roman"/>
                <w:b w:val="0"/>
                <w:i/>
                <w:sz w:val="22"/>
                <w:szCs w:val="22"/>
              </w:rPr>
              <w:t>versus</w:t>
            </w:r>
            <w:r w:rsidR="00081504" w:rsidRPr="00240A8F">
              <w:rPr>
                <w:rFonts w:cs="Times New Roman"/>
                <w:b w:val="0"/>
                <w:sz w:val="22"/>
                <w:szCs w:val="22"/>
              </w:rPr>
              <w:t xml:space="preserve"> FF MDI, %</w:t>
            </w:r>
            <w:r w:rsidR="00081504" w:rsidRPr="00240A8F">
              <w:rPr>
                <w:rFonts w:cs="Times New Roman"/>
                <w:b w:val="0"/>
                <w:sz w:val="22"/>
                <w:szCs w:val="22"/>
              </w:rPr>
              <w:br/>
              <w:t>(95% CI)</w:t>
            </w:r>
          </w:p>
          <w:p w14:paraId="10832C17" w14:textId="77777777" w:rsidR="00024C1F" w:rsidRPr="00240A8F" w:rsidRDefault="00C80EC6" w:rsidP="00081504">
            <w:pPr>
              <w:spacing w:before="20" w:after="20" w:line="276" w:lineRule="auto"/>
              <w:ind w:left="851" w:hanging="284"/>
              <w:rPr>
                <w:rFonts w:cs="Times New Roman"/>
                <w:b w:val="0"/>
                <w:sz w:val="22"/>
                <w:szCs w:val="22"/>
              </w:rPr>
            </w:pPr>
            <w:r w:rsidRPr="00240A8F">
              <w:rPr>
                <w:rFonts w:cs="Times New Roman"/>
                <w:b w:val="0"/>
                <w:sz w:val="22"/>
                <w:szCs w:val="22"/>
              </w:rPr>
              <w:t>p-</w:t>
            </w:r>
            <w:r w:rsidR="00024C1F" w:rsidRPr="00240A8F">
              <w:rPr>
                <w:rFonts w:cs="Times New Roman"/>
                <w:b w:val="0"/>
                <w:sz w:val="22"/>
                <w:szCs w:val="22"/>
              </w:rPr>
              <w:t>value</w:t>
            </w:r>
          </w:p>
        </w:tc>
        <w:tc>
          <w:tcPr>
            <w:tcW w:w="1843" w:type="dxa"/>
          </w:tcPr>
          <w:p w14:paraId="133F1FD0"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320 (52.81)</w:t>
            </w:r>
          </w:p>
          <w:p w14:paraId="77B41D8A" w14:textId="2ECC2704" w:rsidR="00081504" w:rsidRPr="00240A8F" w:rsidRDefault="00081504" w:rsidP="00081504">
            <w:pPr>
              <w:spacing w:before="20" w:after="20" w:line="276" w:lineRule="auto"/>
              <w:jc w:val="center"/>
              <w:rPr>
                <w:rFonts w:cs="Times New Roman"/>
                <w:b w:val="0"/>
                <w:sz w:val="22"/>
                <w:szCs w:val="22"/>
              </w:rPr>
            </w:pPr>
            <w:r w:rsidRPr="00240A8F">
              <w:rPr>
                <w:rFonts w:cs="Times New Roman"/>
                <w:b w:val="0"/>
                <w:sz w:val="22"/>
                <w:szCs w:val="22"/>
              </w:rPr>
              <w:t>10.01</w:t>
            </w:r>
            <w:r w:rsidRPr="00240A8F">
              <w:rPr>
                <w:rFonts w:cs="Times New Roman"/>
                <w:b w:val="0"/>
                <w:sz w:val="22"/>
                <w:szCs w:val="22"/>
              </w:rPr>
              <w:br/>
            </w:r>
            <w:r w:rsidR="00024C1F" w:rsidRPr="00240A8F">
              <w:rPr>
                <w:rFonts w:cs="Times New Roman"/>
                <w:b w:val="0"/>
                <w:sz w:val="22"/>
                <w:szCs w:val="22"/>
              </w:rPr>
              <w:t>(4.130, 15.890)</w:t>
            </w:r>
          </w:p>
          <w:p w14:paraId="53DE3310" w14:textId="77777777" w:rsidR="00024C1F" w:rsidRPr="00240A8F" w:rsidRDefault="00024C1F" w:rsidP="00081504">
            <w:pPr>
              <w:spacing w:before="20" w:after="20" w:line="276" w:lineRule="auto"/>
              <w:jc w:val="center"/>
              <w:rPr>
                <w:rFonts w:cs="Times New Roman"/>
                <w:b w:val="0"/>
                <w:sz w:val="22"/>
                <w:szCs w:val="22"/>
              </w:rPr>
            </w:pPr>
            <w:r w:rsidRPr="00240A8F">
              <w:rPr>
                <w:rFonts w:cs="Times New Roman"/>
                <w:b w:val="0"/>
                <w:sz w:val="22"/>
                <w:szCs w:val="22"/>
              </w:rPr>
              <w:t>0.0009</w:t>
            </w:r>
          </w:p>
        </w:tc>
        <w:tc>
          <w:tcPr>
            <w:tcW w:w="1842" w:type="dxa"/>
          </w:tcPr>
          <w:p w14:paraId="0E59D770"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326 (53.18)</w:t>
            </w:r>
          </w:p>
          <w:p w14:paraId="27AAA95F" w14:textId="72010D3A" w:rsidR="00081504" w:rsidRPr="00240A8F" w:rsidRDefault="00024C1F" w:rsidP="00081504">
            <w:pPr>
              <w:spacing w:before="20" w:after="20" w:line="276" w:lineRule="auto"/>
              <w:jc w:val="center"/>
              <w:rPr>
                <w:rFonts w:cs="Times New Roman"/>
                <w:b w:val="0"/>
                <w:sz w:val="22"/>
                <w:szCs w:val="22"/>
              </w:rPr>
            </w:pPr>
            <w:r w:rsidRPr="00240A8F">
              <w:rPr>
                <w:rFonts w:cs="Times New Roman"/>
                <w:b w:val="0"/>
                <w:sz w:val="22"/>
                <w:szCs w:val="22"/>
              </w:rPr>
              <w:t>11.57</w:t>
            </w:r>
            <w:r w:rsidR="00081504" w:rsidRPr="00240A8F">
              <w:rPr>
                <w:rFonts w:cs="Times New Roman"/>
                <w:b w:val="0"/>
                <w:sz w:val="22"/>
                <w:szCs w:val="22"/>
              </w:rPr>
              <w:br/>
            </w:r>
            <w:r w:rsidRPr="00240A8F">
              <w:rPr>
                <w:rFonts w:cs="Times New Roman"/>
                <w:b w:val="0"/>
                <w:sz w:val="22"/>
                <w:szCs w:val="22"/>
              </w:rPr>
              <w:t>(5.710, 17.440)</w:t>
            </w:r>
          </w:p>
          <w:p w14:paraId="59307881" w14:textId="77777777" w:rsidR="00024C1F" w:rsidRPr="00240A8F" w:rsidRDefault="00024C1F" w:rsidP="00081504">
            <w:pPr>
              <w:spacing w:before="20" w:after="20" w:line="276" w:lineRule="auto"/>
              <w:jc w:val="center"/>
              <w:rPr>
                <w:rFonts w:cs="Times New Roman"/>
                <w:b w:val="0"/>
                <w:sz w:val="22"/>
                <w:szCs w:val="22"/>
              </w:rPr>
            </w:pPr>
            <w:r w:rsidRPr="00240A8F">
              <w:rPr>
                <w:rFonts w:cs="Times New Roman"/>
                <w:b w:val="0"/>
                <w:sz w:val="22"/>
                <w:szCs w:val="22"/>
              </w:rPr>
              <w:t>0.0001</w:t>
            </w:r>
          </w:p>
        </w:tc>
        <w:tc>
          <w:tcPr>
            <w:tcW w:w="1560" w:type="dxa"/>
          </w:tcPr>
          <w:p w14:paraId="338BC248"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254 (42.62)</w:t>
            </w:r>
          </w:p>
          <w:p w14:paraId="13A920B2" w14:textId="77777777" w:rsidR="00081504" w:rsidRPr="00240A8F" w:rsidRDefault="00BC5BA0" w:rsidP="002F62BB">
            <w:pPr>
              <w:spacing w:before="20" w:after="20" w:line="276" w:lineRule="auto"/>
              <w:jc w:val="center"/>
              <w:rPr>
                <w:rFonts w:cs="Times New Roman"/>
                <w:b w:val="0"/>
                <w:sz w:val="22"/>
                <w:szCs w:val="22"/>
              </w:rPr>
            </w:pPr>
            <w:r w:rsidRPr="00240A8F">
              <w:rPr>
                <w:rFonts w:cs="Times New Roman"/>
                <w:b w:val="0"/>
                <w:sz w:val="22"/>
                <w:szCs w:val="22"/>
              </w:rPr>
              <w:t>–</w:t>
            </w:r>
            <w:r w:rsidR="00BD7676" w:rsidRPr="00240A8F">
              <w:rPr>
                <w:rFonts w:cs="Times New Roman"/>
                <w:b w:val="0"/>
                <w:sz w:val="22"/>
                <w:szCs w:val="22"/>
              </w:rPr>
              <w:br/>
            </w:r>
            <w:r w:rsidRPr="00240A8F">
              <w:rPr>
                <w:rFonts w:cs="Times New Roman"/>
                <w:b w:val="0"/>
                <w:sz w:val="22"/>
                <w:szCs w:val="22"/>
              </w:rPr>
              <w:t>–</w:t>
            </w:r>
          </w:p>
          <w:p w14:paraId="5A580CA7" w14:textId="77777777" w:rsidR="00024C1F" w:rsidRPr="00240A8F" w:rsidRDefault="00BC5BA0" w:rsidP="002F62BB">
            <w:pPr>
              <w:spacing w:before="20" w:after="20" w:line="276" w:lineRule="auto"/>
              <w:jc w:val="center"/>
              <w:rPr>
                <w:rFonts w:cs="Times New Roman"/>
                <w:b w:val="0"/>
                <w:sz w:val="22"/>
                <w:szCs w:val="22"/>
              </w:rPr>
            </w:pPr>
            <w:r w:rsidRPr="00240A8F">
              <w:rPr>
                <w:rFonts w:cs="Times New Roman"/>
                <w:b w:val="0"/>
                <w:sz w:val="22"/>
                <w:szCs w:val="22"/>
              </w:rPr>
              <w:t>–</w:t>
            </w:r>
          </w:p>
        </w:tc>
      </w:tr>
      <w:tr w:rsidR="007E5998" w:rsidRPr="00240A8F" w14:paraId="4E75AE2A" w14:textId="77777777" w:rsidTr="00081504">
        <w:trPr>
          <w:cantSplit/>
        </w:trPr>
        <w:tc>
          <w:tcPr>
            <w:tcW w:w="9498" w:type="dxa"/>
            <w:gridSpan w:val="4"/>
          </w:tcPr>
          <w:p w14:paraId="7BD250E0" w14:textId="77777777" w:rsidR="007E5998" w:rsidRPr="00240A8F" w:rsidRDefault="007E5998" w:rsidP="00081504">
            <w:pPr>
              <w:keepNext/>
              <w:spacing w:before="20" w:after="20" w:line="276" w:lineRule="auto"/>
              <w:rPr>
                <w:rFonts w:cs="Times New Roman"/>
                <w:sz w:val="22"/>
                <w:szCs w:val="22"/>
              </w:rPr>
            </w:pPr>
            <w:r w:rsidRPr="00240A8F">
              <w:rPr>
                <w:rFonts w:cs="Times New Roman"/>
                <w:sz w:val="22"/>
                <w:szCs w:val="22"/>
              </w:rPr>
              <w:lastRenderedPageBreak/>
              <w:t xml:space="preserve">Change from baseline in the EXACT total score over 24 weeks </w:t>
            </w:r>
          </w:p>
        </w:tc>
      </w:tr>
      <w:tr w:rsidR="00024C1F" w:rsidRPr="00240A8F" w14:paraId="6C767CCA" w14:textId="77777777" w:rsidTr="00081504">
        <w:trPr>
          <w:cantSplit/>
        </w:trPr>
        <w:tc>
          <w:tcPr>
            <w:tcW w:w="4253" w:type="dxa"/>
          </w:tcPr>
          <w:p w14:paraId="13A766CA"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N</w:t>
            </w:r>
          </w:p>
          <w:p w14:paraId="181F0B95"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LSM (SE)</w:t>
            </w:r>
          </w:p>
          <w:p w14:paraId="7A0C0F71" w14:textId="77777777" w:rsidR="00081504" w:rsidRPr="00240A8F" w:rsidRDefault="00024C1F" w:rsidP="00081504">
            <w:pPr>
              <w:spacing w:before="20" w:after="20" w:line="276" w:lineRule="auto"/>
              <w:ind w:left="851" w:hanging="284"/>
              <w:rPr>
                <w:rFonts w:cs="Times New Roman"/>
                <w:b w:val="0"/>
                <w:sz w:val="22"/>
                <w:szCs w:val="22"/>
              </w:rPr>
            </w:pPr>
            <w:r w:rsidRPr="00240A8F">
              <w:rPr>
                <w:rFonts w:cs="Times New Roman"/>
                <w:b w:val="0"/>
                <w:sz w:val="22"/>
                <w:szCs w:val="22"/>
              </w:rPr>
              <w:t xml:space="preserve">LSM difference </w:t>
            </w:r>
            <w:r w:rsidR="00BE31D4" w:rsidRPr="00240A8F">
              <w:rPr>
                <w:rFonts w:cs="Times New Roman"/>
                <w:b w:val="0"/>
                <w:i/>
                <w:sz w:val="22"/>
                <w:szCs w:val="22"/>
              </w:rPr>
              <w:t>versus</w:t>
            </w:r>
            <w:r w:rsidR="00081504" w:rsidRPr="00240A8F">
              <w:rPr>
                <w:rFonts w:cs="Times New Roman"/>
                <w:b w:val="0"/>
                <w:sz w:val="22"/>
                <w:szCs w:val="22"/>
              </w:rPr>
              <w:t xml:space="preserve"> FF MDI</w:t>
            </w:r>
            <w:r w:rsidR="00081504" w:rsidRPr="00240A8F">
              <w:rPr>
                <w:rFonts w:cs="Times New Roman"/>
                <w:b w:val="0"/>
                <w:sz w:val="22"/>
                <w:szCs w:val="22"/>
              </w:rPr>
              <w:br/>
            </w:r>
            <w:r w:rsidRPr="00240A8F">
              <w:rPr>
                <w:rFonts w:cs="Times New Roman"/>
                <w:b w:val="0"/>
                <w:sz w:val="22"/>
                <w:szCs w:val="22"/>
              </w:rPr>
              <w:t>(95% CI)</w:t>
            </w:r>
          </w:p>
          <w:p w14:paraId="3BB96AB8" w14:textId="77777777" w:rsidR="00024C1F" w:rsidRPr="00240A8F" w:rsidRDefault="00C80EC6" w:rsidP="00081504">
            <w:pPr>
              <w:spacing w:before="20" w:after="20" w:line="276" w:lineRule="auto"/>
              <w:ind w:left="851" w:hanging="284"/>
              <w:rPr>
                <w:rFonts w:cs="Times New Roman"/>
                <w:b w:val="0"/>
                <w:sz w:val="22"/>
                <w:szCs w:val="22"/>
              </w:rPr>
            </w:pPr>
            <w:r w:rsidRPr="00240A8F">
              <w:rPr>
                <w:rFonts w:cs="Times New Roman"/>
                <w:b w:val="0"/>
                <w:sz w:val="22"/>
                <w:szCs w:val="22"/>
              </w:rPr>
              <w:t>p-</w:t>
            </w:r>
            <w:r w:rsidR="00024C1F" w:rsidRPr="00240A8F">
              <w:rPr>
                <w:rFonts w:cs="Times New Roman"/>
                <w:b w:val="0"/>
                <w:sz w:val="22"/>
                <w:szCs w:val="22"/>
              </w:rPr>
              <w:t>value</w:t>
            </w:r>
          </w:p>
        </w:tc>
        <w:tc>
          <w:tcPr>
            <w:tcW w:w="1843" w:type="dxa"/>
          </w:tcPr>
          <w:p w14:paraId="533FFAAC"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614</w:t>
            </w:r>
          </w:p>
          <w:p w14:paraId="58806C8E"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−2.6 (0.33)</w:t>
            </w:r>
          </w:p>
          <w:p w14:paraId="51D155C8" w14:textId="561174DE" w:rsidR="00081504"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−1.35</w:t>
            </w:r>
            <w:r w:rsidR="00081504" w:rsidRPr="00240A8F">
              <w:rPr>
                <w:rFonts w:cs="Times New Roman"/>
                <w:b w:val="0"/>
                <w:sz w:val="22"/>
                <w:szCs w:val="22"/>
              </w:rPr>
              <w:br/>
            </w:r>
            <w:r w:rsidRPr="00240A8F">
              <w:rPr>
                <w:rFonts w:cs="Times New Roman"/>
                <w:b w:val="0"/>
                <w:sz w:val="22"/>
                <w:szCs w:val="22"/>
              </w:rPr>
              <w:t>(−2.230, −</w:t>
            </w:r>
            <w:r w:rsidR="00081504" w:rsidRPr="00240A8F">
              <w:rPr>
                <w:rFonts w:cs="Times New Roman"/>
                <w:b w:val="0"/>
                <w:sz w:val="22"/>
                <w:szCs w:val="22"/>
              </w:rPr>
              <w:t>0.460)</w:t>
            </w:r>
          </w:p>
          <w:p w14:paraId="66D4BD75"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0.0029</w:t>
            </w:r>
          </w:p>
        </w:tc>
        <w:tc>
          <w:tcPr>
            <w:tcW w:w="1842" w:type="dxa"/>
          </w:tcPr>
          <w:p w14:paraId="0A752F9D"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613</w:t>
            </w:r>
          </w:p>
          <w:p w14:paraId="4CB0420C"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−2.8 (0.33)</w:t>
            </w:r>
          </w:p>
          <w:p w14:paraId="20E2A00D" w14:textId="00064F48" w:rsidR="00081504" w:rsidRPr="00240A8F" w:rsidRDefault="00024C1F" w:rsidP="00081504">
            <w:pPr>
              <w:spacing w:before="20" w:after="20" w:line="276" w:lineRule="auto"/>
              <w:jc w:val="center"/>
              <w:rPr>
                <w:rFonts w:cs="Times New Roman"/>
                <w:b w:val="0"/>
                <w:sz w:val="22"/>
                <w:szCs w:val="22"/>
              </w:rPr>
            </w:pPr>
            <w:r w:rsidRPr="00240A8F">
              <w:rPr>
                <w:rFonts w:cs="Times New Roman"/>
                <w:b w:val="0"/>
                <w:sz w:val="22"/>
                <w:szCs w:val="22"/>
              </w:rPr>
              <w:t>−1.53</w:t>
            </w:r>
            <w:r w:rsidR="00081504" w:rsidRPr="00240A8F">
              <w:rPr>
                <w:rFonts w:cs="Times New Roman"/>
                <w:b w:val="0"/>
                <w:sz w:val="22"/>
                <w:szCs w:val="22"/>
              </w:rPr>
              <w:br/>
            </w:r>
            <w:r w:rsidRPr="00240A8F">
              <w:rPr>
                <w:rFonts w:cs="Times New Roman"/>
                <w:b w:val="0"/>
                <w:sz w:val="22"/>
                <w:szCs w:val="22"/>
              </w:rPr>
              <w:t>(−2.420, −</w:t>
            </w:r>
            <w:r w:rsidR="00081504" w:rsidRPr="00240A8F">
              <w:rPr>
                <w:rFonts w:cs="Times New Roman"/>
                <w:b w:val="0"/>
                <w:sz w:val="22"/>
                <w:szCs w:val="22"/>
              </w:rPr>
              <w:t>0.650)</w:t>
            </w:r>
          </w:p>
          <w:p w14:paraId="3122D676" w14:textId="77777777" w:rsidR="00024C1F" w:rsidRPr="00240A8F" w:rsidRDefault="00024C1F" w:rsidP="00081504">
            <w:pPr>
              <w:spacing w:before="20" w:after="20" w:line="276" w:lineRule="auto"/>
              <w:jc w:val="center"/>
              <w:rPr>
                <w:rFonts w:cs="Times New Roman"/>
                <w:b w:val="0"/>
                <w:sz w:val="22"/>
                <w:szCs w:val="22"/>
              </w:rPr>
            </w:pPr>
            <w:r w:rsidRPr="00240A8F">
              <w:rPr>
                <w:rFonts w:cs="Times New Roman"/>
                <w:b w:val="0"/>
                <w:sz w:val="22"/>
                <w:szCs w:val="22"/>
              </w:rPr>
              <w:t>0.0007</w:t>
            </w:r>
          </w:p>
        </w:tc>
        <w:tc>
          <w:tcPr>
            <w:tcW w:w="1560" w:type="dxa"/>
          </w:tcPr>
          <w:p w14:paraId="208A2823"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597</w:t>
            </w:r>
          </w:p>
          <w:p w14:paraId="6F329430"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−1.2 (0.34)</w:t>
            </w:r>
          </w:p>
          <w:p w14:paraId="026BEE9A" w14:textId="77777777" w:rsidR="00BD7676"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r w:rsidR="00BD7676" w:rsidRPr="00240A8F">
              <w:rPr>
                <w:rFonts w:cs="Times New Roman"/>
                <w:b w:val="0"/>
                <w:sz w:val="22"/>
                <w:szCs w:val="22"/>
              </w:rPr>
              <w:br/>
            </w:r>
            <w:r w:rsidRPr="00240A8F">
              <w:rPr>
                <w:rFonts w:cs="Times New Roman"/>
                <w:b w:val="0"/>
                <w:sz w:val="22"/>
                <w:szCs w:val="22"/>
              </w:rPr>
              <w:t>–</w:t>
            </w:r>
          </w:p>
          <w:p w14:paraId="01AD327C" w14:textId="77777777" w:rsidR="00081504"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p>
        </w:tc>
      </w:tr>
      <w:tr w:rsidR="007E5998" w:rsidRPr="00240A8F" w14:paraId="087C5B8D" w14:textId="77777777" w:rsidTr="00081504">
        <w:trPr>
          <w:cantSplit/>
        </w:trPr>
        <w:tc>
          <w:tcPr>
            <w:tcW w:w="9498" w:type="dxa"/>
            <w:gridSpan w:val="4"/>
          </w:tcPr>
          <w:p w14:paraId="189E35A3" w14:textId="77777777" w:rsidR="007E5998" w:rsidRPr="00240A8F" w:rsidRDefault="007E5998" w:rsidP="00D8573E">
            <w:pPr>
              <w:spacing w:before="20" w:after="20" w:line="276" w:lineRule="auto"/>
              <w:rPr>
                <w:rFonts w:cs="Times New Roman"/>
                <w:sz w:val="22"/>
                <w:szCs w:val="22"/>
              </w:rPr>
            </w:pPr>
            <w:r w:rsidRPr="00240A8F">
              <w:rPr>
                <w:rFonts w:cs="Times New Roman"/>
                <w:sz w:val="22"/>
                <w:szCs w:val="22"/>
              </w:rPr>
              <w:t>TDI focal score over 24 weeks</w:t>
            </w:r>
          </w:p>
        </w:tc>
      </w:tr>
      <w:tr w:rsidR="00024C1F" w:rsidRPr="00240A8F" w14:paraId="7A566D10" w14:textId="77777777" w:rsidTr="00081504">
        <w:trPr>
          <w:cantSplit/>
        </w:trPr>
        <w:tc>
          <w:tcPr>
            <w:tcW w:w="4253" w:type="dxa"/>
          </w:tcPr>
          <w:p w14:paraId="25D0DF94"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N</w:t>
            </w:r>
          </w:p>
          <w:p w14:paraId="591E02D0"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LSM (SE)</w:t>
            </w:r>
          </w:p>
          <w:p w14:paraId="6F5EBB6E" w14:textId="77777777" w:rsidR="00081504" w:rsidRPr="00240A8F" w:rsidRDefault="00024C1F" w:rsidP="00081504">
            <w:pPr>
              <w:spacing w:before="20" w:after="20" w:line="276" w:lineRule="auto"/>
              <w:ind w:left="851" w:hanging="284"/>
              <w:rPr>
                <w:rFonts w:cs="Times New Roman"/>
                <w:b w:val="0"/>
                <w:sz w:val="22"/>
                <w:szCs w:val="22"/>
              </w:rPr>
            </w:pPr>
            <w:r w:rsidRPr="00240A8F">
              <w:rPr>
                <w:rFonts w:cs="Times New Roman"/>
                <w:b w:val="0"/>
                <w:sz w:val="22"/>
                <w:szCs w:val="22"/>
              </w:rPr>
              <w:t>LSM difference</w:t>
            </w:r>
            <w:r w:rsidR="00081504" w:rsidRPr="00240A8F">
              <w:rPr>
                <w:rFonts w:cs="Times New Roman"/>
                <w:b w:val="0"/>
                <w:sz w:val="22"/>
                <w:szCs w:val="22"/>
              </w:rPr>
              <w:t xml:space="preserve"> </w:t>
            </w:r>
            <w:r w:rsidR="00BE31D4" w:rsidRPr="00240A8F">
              <w:rPr>
                <w:rFonts w:cs="Times New Roman"/>
                <w:b w:val="0"/>
                <w:i/>
                <w:sz w:val="22"/>
                <w:szCs w:val="22"/>
              </w:rPr>
              <w:t>versus</w:t>
            </w:r>
            <w:r w:rsidR="00081504" w:rsidRPr="00240A8F">
              <w:rPr>
                <w:rFonts w:cs="Times New Roman"/>
                <w:b w:val="0"/>
                <w:sz w:val="22"/>
                <w:szCs w:val="22"/>
              </w:rPr>
              <w:t xml:space="preserve"> FF MDI</w:t>
            </w:r>
            <w:r w:rsidR="00081504" w:rsidRPr="00240A8F">
              <w:rPr>
                <w:rFonts w:cs="Times New Roman"/>
                <w:b w:val="0"/>
                <w:sz w:val="22"/>
                <w:szCs w:val="22"/>
              </w:rPr>
              <w:br/>
              <w:t>(95% CI)</w:t>
            </w:r>
          </w:p>
          <w:p w14:paraId="20494AF2" w14:textId="77777777" w:rsidR="00024C1F" w:rsidRPr="00240A8F" w:rsidRDefault="00C80EC6" w:rsidP="00081504">
            <w:pPr>
              <w:spacing w:before="20" w:after="20" w:line="276" w:lineRule="auto"/>
              <w:ind w:left="851" w:hanging="284"/>
              <w:rPr>
                <w:rFonts w:cs="Times New Roman"/>
                <w:b w:val="0"/>
                <w:sz w:val="22"/>
                <w:szCs w:val="22"/>
              </w:rPr>
            </w:pPr>
            <w:r w:rsidRPr="00240A8F">
              <w:rPr>
                <w:rFonts w:cs="Times New Roman"/>
                <w:b w:val="0"/>
                <w:sz w:val="22"/>
                <w:szCs w:val="22"/>
              </w:rPr>
              <w:t>p-</w:t>
            </w:r>
            <w:r w:rsidR="00024C1F" w:rsidRPr="00240A8F">
              <w:rPr>
                <w:rFonts w:cs="Times New Roman"/>
                <w:b w:val="0"/>
                <w:sz w:val="22"/>
                <w:szCs w:val="22"/>
              </w:rPr>
              <w:t>value</w:t>
            </w:r>
          </w:p>
        </w:tc>
        <w:tc>
          <w:tcPr>
            <w:tcW w:w="1843" w:type="dxa"/>
          </w:tcPr>
          <w:p w14:paraId="36CCF39E"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566</w:t>
            </w:r>
          </w:p>
          <w:p w14:paraId="6FAAB5BC"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1.32 (0.110)</w:t>
            </w:r>
          </w:p>
          <w:p w14:paraId="030AD620" w14:textId="6659122E" w:rsidR="00081504" w:rsidRPr="00240A8F" w:rsidRDefault="00081504" w:rsidP="001930F4">
            <w:pPr>
              <w:spacing w:before="20" w:after="20" w:line="276" w:lineRule="auto"/>
              <w:jc w:val="center"/>
              <w:rPr>
                <w:rFonts w:cs="Times New Roman"/>
                <w:b w:val="0"/>
                <w:sz w:val="22"/>
                <w:szCs w:val="22"/>
              </w:rPr>
            </w:pPr>
            <w:r w:rsidRPr="00240A8F">
              <w:rPr>
                <w:rFonts w:cs="Times New Roman"/>
                <w:b w:val="0"/>
                <w:sz w:val="22"/>
                <w:szCs w:val="22"/>
              </w:rPr>
              <w:t>0.25</w:t>
            </w:r>
            <w:r w:rsidRPr="00240A8F">
              <w:rPr>
                <w:rFonts w:cs="Times New Roman"/>
                <w:b w:val="0"/>
                <w:sz w:val="22"/>
                <w:szCs w:val="22"/>
              </w:rPr>
              <w:br/>
            </w:r>
            <w:r w:rsidR="00024C1F" w:rsidRPr="00240A8F">
              <w:rPr>
                <w:rFonts w:cs="Times New Roman"/>
                <w:b w:val="0"/>
                <w:sz w:val="22"/>
                <w:szCs w:val="22"/>
              </w:rPr>
              <w:t>(−</w:t>
            </w:r>
            <w:r w:rsidRPr="00240A8F">
              <w:rPr>
                <w:rFonts w:cs="Times New Roman"/>
                <w:b w:val="0"/>
                <w:sz w:val="22"/>
                <w:szCs w:val="22"/>
              </w:rPr>
              <w:t>0.030, 0.540)</w:t>
            </w:r>
          </w:p>
          <w:p w14:paraId="51C54198"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0.0824</w:t>
            </w:r>
          </w:p>
        </w:tc>
        <w:tc>
          <w:tcPr>
            <w:tcW w:w="1842" w:type="dxa"/>
          </w:tcPr>
          <w:p w14:paraId="1772585D"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578</w:t>
            </w:r>
          </w:p>
          <w:p w14:paraId="18B4A0BC"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1.30 (0.107)</w:t>
            </w:r>
          </w:p>
          <w:p w14:paraId="64870192" w14:textId="13025EC3" w:rsidR="00081504" w:rsidRPr="00240A8F" w:rsidRDefault="00081504" w:rsidP="00081504">
            <w:pPr>
              <w:spacing w:before="20" w:after="20" w:line="276" w:lineRule="auto"/>
              <w:jc w:val="center"/>
              <w:rPr>
                <w:rFonts w:cs="Times New Roman"/>
                <w:b w:val="0"/>
                <w:sz w:val="22"/>
                <w:szCs w:val="22"/>
              </w:rPr>
            </w:pPr>
            <w:r w:rsidRPr="00240A8F">
              <w:rPr>
                <w:rFonts w:cs="Times New Roman"/>
                <w:b w:val="0"/>
                <w:sz w:val="22"/>
                <w:szCs w:val="22"/>
              </w:rPr>
              <w:t>0.23</w:t>
            </w:r>
            <w:r w:rsidRPr="00240A8F">
              <w:rPr>
                <w:rFonts w:cs="Times New Roman"/>
                <w:b w:val="0"/>
                <w:sz w:val="22"/>
                <w:szCs w:val="22"/>
              </w:rPr>
              <w:br/>
            </w:r>
            <w:r w:rsidR="00024C1F" w:rsidRPr="00240A8F">
              <w:rPr>
                <w:rFonts w:cs="Times New Roman"/>
                <w:b w:val="0"/>
                <w:sz w:val="22"/>
                <w:szCs w:val="22"/>
              </w:rPr>
              <w:t>(−</w:t>
            </w:r>
            <w:r w:rsidRPr="00240A8F">
              <w:rPr>
                <w:rFonts w:cs="Times New Roman"/>
                <w:b w:val="0"/>
                <w:sz w:val="22"/>
                <w:szCs w:val="22"/>
              </w:rPr>
              <w:t>0.050, 0.520)</w:t>
            </w:r>
          </w:p>
          <w:p w14:paraId="2A541D80" w14:textId="77777777" w:rsidR="00024C1F" w:rsidRPr="00240A8F" w:rsidRDefault="00024C1F" w:rsidP="00081504">
            <w:pPr>
              <w:spacing w:before="20" w:after="20" w:line="276" w:lineRule="auto"/>
              <w:jc w:val="center"/>
              <w:rPr>
                <w:rFonts w:cs="Times New Roman"/>
                <w:b w:val="0"/>
                <w:sz w:val="22"/>
                <w:szCs w:val="22"/>
              </w:rPr>
            </w:pPr>
            <w:r w:rsidRPr="00240A8F">
              <w:rPr>
                <w:rFonts w:cs="Times New Roman"/>
                <w:b w:val="0"/>
                <w:sz w:val="22"/>
                <w:szCs w:val="22"/>
              </w:rPr>
              <w:t>0.1130</w:t>
            </w:r>
          </w:p>
        </w:tc>
        <w:tc>
          <w:tcPr>
            <w:tcW w:w="1560" w:type="dxa"/>
          </w:tcPr>
          <w:p w14:paraId="77FC7AB5"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550</w:t>
            </w:r>
          </w:p>
          <w:p w14:paraId="2BFC6F56" w14:textId="77777777" w:rsidR="00BD7676" w:rsidRPr="00240A8F" w:rsidRDefault="00024C1F" w:rsidP="00BD7676">
            <w:pPr>
              <w:spacing w:before="20" w:after="20" w:line="276" w:lineRule="auto"/>
              <w:jc w:val="center"/>
              <w:rPr>
                <w:rFonts w:cs="Times New Roman"/>
                <w:b w:val="0"/>
                <w:sz w:val="22"/>
                <w:szCs w:val="22"/>
              </w:rPr>
            </w:pPr>
            <w:r w:rsidRPr="00240A8F">
              <w:rPr>
                <w:rFonts w:cs="Times New Roman"/>
                <w:b w:val="0"/>
                <w:sz w:val="22"/>
                <w:szCs w:val="22"/>
              </w:rPr>
              <w:t>1.06 (0.111)</w:t>
            </w:r>
            <w:r w:rsidRPr="00240A8F">
              <w:rPr>
                <w:rFonts w:cs="Times New Roman"/>
                <w:b w:val="0"/>
                <w:sz w:val="22"/>
                <w:szCs w:val="22"/>
              </w:rPr>
              <w:br/>
            </w:r>
            <w:r w:rsidR="00BC5BA0" w:rsidRPr="00240A8F">
              <w:rPr>
                <w:rFonts w:cs="Times New Roman"/>
                <w:b w:val="0"/>
                <w:sz w:val="22"/>
                <w:szCs w:val="22"/>
              </w:rPr>
              <w:t>–</w:t>
            </w:r>
            <w:r w:rsidR="00BD7676" w:rsidRPr="00240A8F">
              <w:rPr>
                <w:rFonts w:cs="Times New Roman"/>
                <w:b w:val="0"/>
                <w:sz w:val="22"/>
                <w:szCs w:val="22"/>
              </w:rPr>
              <w:br/>
            </w:r>
            <w:r w:rsidR="00BC5BA0" w:rsidRPr="00240A8F">
              <w:rPr>
                <w:rFonts w:cs="Times New Roman"/>
                <w:b w:val="0"/>
                <w:sz w:val="22"/>
                <w:szCs w:val="22"/>
              </w:rPr>
              <w:t>–</w:t>
            </w:r>
          </w:p>
          <w:p w14:paraId="0E47FA35" w14:textId="77777777" w:rsidR="00024C1F"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p>
        </w:tc>
      </w:tr>
      <w:tr w:rsidR="00024C1F" w:rsidRPr="00240A8F" w14:paraId="5477CD66" w14:textId="77777777" w:rsidTr="00081504">
        <w:trPr>
          <w:cantSplit/>
          <w:trHeight w:val="69"/>
        </w:trPr>
        <w:tc>
          <w:tcPr>
            <w:tcW w:w="4253" w:type="dxa"/>
          </w:tcPr>
          <w:p w14:paraId="60A2E649" w14:textId="77777777" w:rsidR="00024C1F" w:rsidRPr="00240A8F" w:rsidRDefault="00024C1F" w:rsidP="00D35E27">
            <w:pPr>
              <w:spacing w:before="20" w:after="20" w:line="276" w:lineRule="auto"/>
              <w:rPr>
                <w:rFonts w:cs="Times New Roman"/>
                <w:sz w:val="22"/>
                <w:szCs w:val="22"/>
              </w:rPr>
            </w:pPr>
            <w:r w:rsidRPr="00240A8F">
              <w:rPr>
                <w:rFonts w:cs="Times New Roman"/>
                <w:sz w:val="22"/>
                <w:szCs w:val="22"/>
              </w:rPr>
              <w:t>Additional endpoint</w:t>
            </w:r>
            <w:r w:rsidR="00BD7676" w:rsidRPr="00240A8F">
              <w:rPr>
                <w:rFonts w:cs="Times New Roman"/>
                <w:sz w:val="22"/>
                <w:szCs w:val="22"/>
              </w:rPr>
              <w:t>s</w:t>
            </w:r>
          </w:p>
        </w:tc>
        <w:tc>
          <w:tcPr>
            <w:tcW w:w="1843" w:type="dxa"/>
          </w:tcPr>
          <w:p w14:paraId="646978E0" w14:textId="77777777" w:rsidR="00024C1F" w:rsidRPr="00240A8F" w:rsidRDefault="00024C1F" w:rsidP="00D35E27">
            <w:pPr>
              <w:spacing w:before="20" w:after="20" w:line="276" w:lineRule="auto"/>
              <w:rPr>
                <w:rFonts w:cs="Times New Roman"/>
                <w:sz w:val="22"/>
                <w:szCs w:val="22"/>
              </w:rPr>
            </w:pPr>
          </w:p>
        </w:tc>
        <w:tc>
          <w:tcPr>
            <w:tcW w:w="1842" w:type="dxa"/>
          </w:tcPr>
          <w:p w14:paraId="3D4F1AF7" w14:textId="77777777" w:rsidR="00024C1F" w:rsidRPr="00240A8F" w:rsidRDefault="00024C1F" w:rsidP="00D35E27">
            <w:pPr>
              <w:spacing w:before="20" w:after="20" w:line="276" w:lineRule="auto"/>
              <w:rPr>
                <w:rFonts w:cs="Times New Roman"/>
                <w:sz w:val="22"/>
                <w:szCs w:val="22"/>
              </w:rPr>
            </w:pPr>
          </w:p>
        </w:tc>
        <w:tc>
          <w:tcPr>
            <w:tcW w:w="1560" w:type="dxa"/>
          </w:tcPr>
          <w:p w14:paraId="1ECA5DA9" w14:textId="77777777" w:rsidR="00024C1F" w:rsidRPr="00240A8F" w:rsidRDefault="00024C1F" w:rsidP="00D35E27">
            <w:pPr>
              <w:spacing w:before="20" w:after="20" w:line="276" w:lineRule="auto"/>
              <w:rPr>
                <w:rFonts w:cs="Times New Roman"/>
                <w:sz w:val="22"/>
                <w:szCs w:val="22"/>
              </w:rPr>
            </w:pPr>
          </w:p>
        </w:tc>
      </w:tr>
      <w:tr w:rsidR="007E5998" w:rsidRPr="00240A8F" w14:paraId="57ABBF92" w14:textId="77777777" w:rsidTr="00081504">
        <w:trPr>
          <w:cantSplit/>
          <w:trHeight w:val="69"/>
        </w:trPr>
        <w:tc>
          <w:tcPr>
            <w:tcW w:w="9498" w:type="dxa"/>
            <w:gridSpan w:val="4"/>
          </w:tcPr>
          <w:p w14:paraId="130F93F4" w14:textId="77777777" w:rsidR="007E5998" w:rsidRPr="00240A8F" w:rsidRDefault="007E5998" w:rsidP="00C80EC6">
            <w:pPr>
              <w:spacing w:before="20" w:after="20" w:line="276" w:lineRule="auto"/>
              <w:rPr>
                <w:rFonts w:cs="Times New Roman"/>
                <w:sz w:val="22"/>
                <w:szCs w:val="22"/>
              </w:rPr>
            </w:pPr>
            <w:r w:rsidRPr="00240A8F">
              <w:rPr>
                <w:rFonts w:cs="Times New Roman"/>
                <w:sz w:val="22"/>
                <w:szCs w:val="22"/>
              </w:rPr>
              <w:t>Rate of moderate/severe exacerbations</w:t>
            </w:r>
            <w:r w:rsidR="00345806" w:rsidRPr="00240A8F">
              <w:rPr>
                <w:rFonts w:cs="Times New Roman"/>
                <w:sz w:val="22"/>
                <w:szCs w:val="22"/>
              </w:rPr>
              <w:t>, per year</w:t>
            </w:r>
            <w:r w:rsidR="00C80EC6" w:rsidRPr="00240A8F">
              <w:rPr>
                <w:rFonts w:cs="Times New Roman"/>
                <w:sz w:val="22"/>
                <w:szCs w:val="22"/>
                <w:vertAlign w:val="superscript"/>
              </w:rPr>
              <w:t>+</w:t>
            </w:r>
          </w:p>
        </w:tc>
      </w:tr>
      <w:tr w:rsidR="00024C1F" w:rsidRPr="00240A8F" w14:paraId="674B6715" w14:textId="77777777" w:rsidTr="00081504">
        <w:trPr>
          <w:cantSplit/>
          <w:trHeight w:val="627"/>
        </w:trPr>
        <w:tc>
          <w:tcPr>
            <w:tcW w:w="4253" w:type="dxa"/>
          </w:tcPr>
          <w:p w14:paraId="72E12C43"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Adjusted rate of exacerbations (SE)</w:t>
            </w:r>
          </w:p>
          <w:p w14:paraId="436BF994" w14:textId="77777777" w:rsidR="00BD7676" w:rsidRPr="00240A8F" w:rsidRDefault="00024C1F" w:rsidP="00BD7676">
            <w:pPr>
              <w:spacing w:before="20" w:after="20" w:line="276" w:lineRule="auto"/>
              <w:ind w:left="851" w:hanging="284"/>
              <w:rPr>
                <w:rFonts w:cs="Times New Roman"/>
                <w:b w:val="0"/>
                <w:sz w:val="22"/>
                <w:szCs w:val="22"/>
              </w:rPr>
            </w:pPr>
            <w:r w:rsidRPr="00240A8F">
              <w:rPr>
                <w:rFonts w:cs="Times New Roman"/>
                <w:b w:val="0"/>
                <w:sz w:val="22"/>
                <w:szCs w:val="22"/>
              </w:rPr>
              <w:t xml:space="preserve">Rate ratio </w:t>
            </w:r>
            <w:r w:rsidR="00BE31D4" w:rsidRPr="00240A8F">
              <w:rPr>
                <w:rFonts w:cs="Times New Roman"/>
                <w:b w:val="0"/>
                <w:i/>
                <w:sz w:val="22"/>
                <w:szCs w:val="22"/>
              </w:rPr>
              <w:t>versus</w:t>
            </w:r>
            <w:r w:rsidR="00081504" w:rsidRPr="00240A8F">
              <w:rPr>
                <w:rFonts w:cs="Times New Roman"/>
                <w:b w:val="0"/>
                <w:sz w:val="22"/>
                <w:szCs w:val="22"/>
              </w:rPr>
              <w:t xml:space="preserve"> FF MDI</w:t>
            </w:r>
            <w:r w:rsidR="00BD7676" w:rsidRPr="00240A8F">
              <w:rPr>
                <w:rFonts w:cs="Times New Roman"/>
                <w:b w:val="0"/>
                <w:sz w:val="22"/>
                <w:szCs w:val="22"/>
              </w:rPr>
              <w:br/>
            </w:r>
            <w:r w:rsidRPr="00240A8F">
              <w:rPr>
                <w:rFonts w:cs="Times New Roman"/>
                <w:b w:val="0"/>
                <w:sz w:val="22"/>
                <w:szCs w:val="22"/>
              </w:rPr>
              <w:t>(95% CI)</w:t>
            </w:r>
          </w:p>
          <w:p w14:paraId="20528AB2" w14:textId="77777777" w:rsidR="00024C1F" w:rsidRPr="00240A8F" w:rsidRDefault="00C80EC6" w:rsidP="00BD7676">
            <w:pPr>
              <w:spacing w:before="20" w:after="20" w:line="276" w:lineRule="auto"/>
              <w:ind w:left="851" w:hanging="284"/>
              <w:rPr>
                <w:rFonts w:cs="Times New Roman"/>
                <w:b w:val="0"/>
                <w:sz w:val="22"/>
                <w:szCs w:val="22"/>
              </w:rPr>
            </w:pPr>
            <w:r w:rsidRPr="00240A8F">
              <w:rPr>
                <w:rFonts w:cs="Times New Roman"/>
                <w:b w:val="0"/>
                <w:sz w:val="22"/>
                <w:szCs w:val="22"/>
              </w:rPr>
              <w:t>p-</w:t>
            </w:r>
            <w:r w:rsidR="00024C1F" w:rsidRPr="00240A8F">
              <w:rPr>
                <w:rFonts w:cs="Times New Roman"/>
                <w:b w:val="0"/>
                <w:sz w:val="22"/>
                <w:szCs w:val="22"/>
              </w:rPr>
              <w:t>value</w:t>
            </w:r>
          </w:p>
        </w:tc>
        <w:tc>
          <w:tcPr>
            <w:tcW w:w="1843" w:type="dxa"/>
          </w:tcPr>
          <w:p w14:paraId="199F7FAB"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0.93 (0.073)</w:t>
            </w:r>
          </w:p>
          <w:p w14:paraId="16F19505" w14:textId="28CB4D03" w:rsidR="00024C1F" w:rsidRPr="00240A8F" w:rsidRDefault="00BD7676" w:rsidP="001930F4">
            <w:pPr>
              <w:spacing w:before="20" w:after="20" w:line="276" w:lineRule="auto"/>
              <w:jc w:val="center"/>
              <w:rPr>
                <w:rFonts w:cs="Times New Roman"/>
                <w:b w:val="0"/>
                <w:sz w:val="22"/>
                <w:szCs w:val="22"/>
              </w:rPr>
            </w:pPr>
            <w:r w:rsidRPr="00240A8F">
              <w:rPr>
                <w:rFonts w:cs="Times New Roman"/>
                <w:b w:val="0"/>
                <w:sz w:val="22"/>
                <w:szCs w:val="22"/>
              </w:rPr>
              <w:t>0.67</w:t>
            </w:r>
            <w:r w:rsidRPr="00240A8F">
              <w:rPr>
                <w:rFonts w:cs="Times New Roman"/>
                <w:b w:val="0"/>
                <w:sz w:val="22"/>
                <w:szCs w:val="22"/>
              </w:rPr>
              <w:br/>
            </w:r>
            <w:r w:rsidR="00024C1F" w:rsidRPr="00240A8F">
              <w:rPr>
                <w:rFonts w:cs="Times New Roman"/>
                <w:b w:val="0"/>
                <w:sz w:val="22"/>
                <w:szCs w:val="22"/>
              </w:rPr>
              <w:t>(0.54, 0.82)</w:t>
            </w:r>
          </w:p>
          <w:p w14:paraId="4CEEA8BF" w14:textId="77777777" w:rsidR="00024C1F" w:rsidRPr="00240A8F" w:rsidRDefault="00024C1F" w:rsidP="00C80EC6">
            <w:pPr>
              <w:spacing w:before="20" w:after="20" w:line="276" w:lineRule="auto"/>
              <w:jc w:val="center"/>
              <w:rPr>
                <w:rFonts w:cs="Times New Roman"/>
                <w:b w:val="0"/>
                <w:sz w:val="22"/>
                <w:szCs w:val="22"/>
              </w:rPr>
            </w:pPr>
            <w:r w:rsidRPr="00240A8F">
              <w:rPr>
                <w:rFonts w:cs="Times New Roman"/>
                <w:b w:val="0"/>
                <w:sz w:val="22"/>
                <w:szCs w:val="22"/>
              </w:rPr>
              <w:t>0.0001</w:t>
            </w:r>
            <w:r w:rsidR="00C80EC6" w:rsidRPr="00240A8F">
              <w:rPr>
                <w:rFonts w:cs="Times New Roman"/>
                <w:b w:val="0"/>
                <w:sz w:val="22"/>
                <w:szCs w:val="22"/>
                <w:vertAlign w:val="superscript"/>
              </w:rPr>
              <w:t>##</w:t>
            </w:r>
          </w:p>
        </w:tc>
        <w:tc>
          <w:tcPr>
            <w:tcW w:w="1842" w:type="dxa"/>
          </w:tcPr>
          <w:p w14:paraId="7ACC8F9C"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0.98 (0.076)</w:t>
            </w:r>
          </w:p>
          <w:p w14:paraId="14AE46EA" w14:textId="119C2452" w:rsidR="00024C1F" w:rsidRPr="00240A8F" w:rsidRDefault="00BD7676" w:rsidP="001930F4">
            <w:pPr>
              <w:spacing w:before="20" w:after="20" w:line="276" w:lineRule="auto"/>
              <w:jc w:val="center"/>
              <w:rPr>
                <w:rFonts w:cs="Times New Roman"/>
                <w:b w:val="0"/>
                <w:sz w:val="22"/>
                <w:szCs w:val="22"/>
              </w:rPr>
            </w:pPr>
            <w:r w:rsidRPr="00240A8F">
              <w:rPr>
                <w:rFonts w:cs="Times New Roman"/>
                <w:b w:val="0"/>
                <w:sz w:val="22"/>
                <w:szCs w:val="22"/>
              </w:rPr>
              <w:t>0.71</w:t>
            </w:r>
            <w:r w:rsidRPr="00240A8F">
              <w:rPr>
                <w:rFonts w:cs="Times New Roman"/>
                <w:b w:val="0"/>
                <w:sz w:val="22"/>
                <w:szCs w:val="22"/>
              </w:rPr>
              <w:br/>
            </w:r>
            <w:r w:rsidR="00024C1F" w:rsidRPr="00240A8F">
              <w:rPr>
                <w:rFonts w:cs="Times New Roman"/>
                <w:b w:val="0"/>
                <w:sz w:val="22"/>
                <w:szCs w:val="22"/>
              </w:rPr>
              <w:t>(0.58, 0.87)</w:t>
            </w:r>
          </w:p>
          <w:p w14:paraId="7CE34091" w14:textId="77777777" w:rsidR="00024C1F" w:rsidRPr="00240A8F" w:rsidRDefault="00024C1F" w:rsidP="00C80EC6">
            <w:pPr>
              <w:spacing w:before="20" w:after="20" w:line="276" w:lineRule="auto"/>
              <w:jc w:val="center"/>
              <w:rPr>
                <w:rFonts w:cs="Times New Roman"/>
                <w:b w:val="0"/>
                <w:sz w:val="22"/>
                <w:szCs w:val="22"/>
              </w:rPr>
            </w:pPr>
            <w:r w:rsidRPr="00240A8F">
              <w:rPr>
                <w:rFonts w:cs="Times New Roman"/>
                <w:b w:val="0"/>
                <w:sz w:val="22"/>
                <w:szCs w:val="22"/>
              </w:rPr>
              <w:t>0.0010</w:t>
            </w:r>
            <w:r w:rsidR="00C80EC6" w:rsidRPr="00240A8F">
              <w:rPr>
                <w:rFonts w:cs="Times New Roman"/>
                <w:b w:val="0"/>
                <w:sz w:val="22"/>
                <w:szCs w:val="22"/>
                <w:vertAlign w:val="superscript"/>
              </w:rPr>
              <w:t>##</w:t>
            </w:r>
          </w:p>
        </w:tc>
        <w:tc>
          <w:tcPr>
            <w:tcW w:w="1560" w:type="dxa"/>
          </w:tcPr>
          <w:p w14:paraId="3530F868"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1.39 (0.106)</w:t>
            </w:r>
          </w:p>
          <w:p w14:paraId="32B67FD4" w14:textId="77777777" w:rsidR="00BD7676"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r w:rsidR="00BD7676" w:rsidRPr="00240A8F">
              <w:rPr>
                <w:rFonts w:cs="Times New Roman"/>
                <w:b w:val="0"/>
                <w:sz w:val="22"/>
                <w:szCs w:val="22"/>
              </w:rPr>
              <w:br/>
            </w:r>
            <w:r w:rsidRPr="00240A8F">
              <w:rPr>
                <w:rFonts w:cs="Times New Roman"/>
                <w:b w:val="0"/>
                <w:sz w:val="22"/>
                <w:szCs w:val="22"/>
              </w:rPr>
              <w:t>–</w:t>
            </w:r>
          </w:p>
          <w:p w14:paraId="1E52BDE3" w14:textId="77777777" w:rsidR="00024C1F"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p>
        </w:tc>
      </w:tr>
      <w:tr w:rsidR="007E5998" w:rsidRPr="00240A8F" w14:paraId="71F28221" w14:textId="77777777" w:rsidTr="00081504">
        <w:trPr>
          <w:cantSplit/>
          <w:trHeight w:val="627"/>
        </w:trPr>
        <w:tc>
          <w:tcPr>
            <w:tcW w:w="9498" w:type="dxa"/>
            <w:gridSpan w:val="4"/>
            <w:vAlign w:val="center"/>
          </w:tcPr>
          <w:p w14:paraId="52BE849E" w14:textId="77777777" w:rsidR="007E5998" w:rsidRPr="00240A8F" w:rsidRDefault="007E5998" w:rsidP="00D8573E">
            <w:pPr>
              <w:spacing w:before="20" w:after="20" w:line="276" w:lineRule="auto"/>
              <w:rPr>
                <w:rFonts w:cs="Times New Roman"/>
                <w:sz w:val="22"/>
                <w:szCs w:val="22"/>
              </w:rPr>
            </w:pPr>
            <w:r w:rsidRPr="00240A8F">
              <w:rPr>
                <w:rFonts w:cs="Times New Roman"/>
                <w:sz w:val="22"/>
                <w:szCs w:val="22"/>
              </w:rPr>
              <w:t>Time to first moderate/severe COPD exacerbation in patients with a history of ≥2 moderate/severe COPD exacerbations in the last 12 months</w:t>
            </w:r>
          </w:p>
        </w:tc>
      </w:tr>
      <w:tr w:rsidR="00024C1F" w:rsidRPr="00240A8F" w14:paraId="1D8DF2AF" w14:textId="77777777" w:rsidTr="00081504">
        <w:trPr>
          <w:cantSplit/>
          <w:trHeight w:val="627"/>
        </w:trPr>
        <w:tc>
          <w:tcPr>
            <w:tcW w:w="4253" w:type="dxa"/>
            <w:tcBorders>
              <w:bottom w:val="single" w:sz="12" w:space="0" w:color="auto"/>
            </w:tcBorders>
          </w:tcPr>
          <w:p w14:paraId="7F7718EE"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Patients with exacerbation, n (%)</w:t>
            </w:r>
          </w:p>
          <w:p w14:paraId="170466DD" w14:textId="77777777" w:rsidR="00024C1F" w:rsidRPr="00240A8F" w:rsidRDefault="00024C1F" w:rsidP="00024C1F">
            <w:pPr>
              <w:spacing w:before="20" w:after="20" w:line="276" w:lineRule="auto"/>
              <w:ind w:left="851" w:hanging="284"/>
              <w:rPr>
                <w:rFonts w:cs="Times New Roman"/>
                <w:b w:val="0"/>
                <w:sz w:val="22"/>
                <w:szCs w:val="22"/>
              </w:rPr>
            </w:pPr>
            <w:r w:rsidRPr="00240A8F">
              <w:rPr>
                <w:rFonts w:cs="Times New Roman"/>
                <w:b w:val="0"/>
                <w:sz w:val="22"/>
                <w:szCs w:val="22"/>
              </w:rPr>
              <w:t xml:space="preserve">HR </w:t>
            </w:r>
            <w:r w:rsidR="00BE31D4" w:rsidRPr="00240A8F">
              <w:rPr>
                <w:rFonts w:cs="Times New Roman"/>
                <w:b w:val="0"/>
                <w:i/>
                <w:sz w:val="22"/>
                <w:szCs w:val="22"/>
              </w:rPr>
              <w:t>versus</w:t>
            </w:r>
            <w:r w:rsidR="00081504" w:rsidRPr="00240A8F">
              <w:rPr>
                <w:rFonts w:cs="Times New Roman"/>
                <w:b w:val="0"/>
                <w:sz w:val="22"/>
                <w:szCs w:val="22"/>
              </w:rPr>
              <w:t xml:space="preserve"> FF MDI</w:t>
            </w:r>
            <w:r w:rsidR="00081504" w:rsidRPr="00240A8F">
              <w:rPr>
                <w:rFonts w:cs="Times New Roman"/>
                <w:b w:val="0"/>
                <w:sz w:val="22"/>
                <w:szCs w:val="22"/>
              </w:rPr>
              <w:br/>
            </w:r>
            <w:r w:rsidRPr="00240A8F">
              <w:rPr>
                <w:rFonts w:cs="Times New Roman"/>
                <w:b w:val="0"/>
                <w:sz w:val="22"/>
                <w:szCs w:val="22"/>
              </w:rPr>
              <w:t>(95% CI)</w:t>
            </w:r>
          </w:p>
          <w:p w14:paraId="1EEADE44" w14:textId="77777777" w:rsidR="00024C1F" w:rsidRPr="00240A8F" w:rsidRDefault="00C80EC6" w:rsidP="00024C1F">
            <w:pPr>
              <w:spacing w:before="20" w:after="20" w:line="276" w:lineRule="auto"/>
              <w:ind w:left="851" w:hanging="284"/>
              <w:rPr>
                <w:rFonts w:cs="Times New Roman"/>
                <w:b w:val="0"/>
                <w:sz w:val="22"/>
                <w:szCs w:val="22"/>
              </w:rPr>
            </w:pPr>
            <w:r w:rsidRPr="00240A8F">
              <w:rPr>
                <w:rFonts w:cs="Times New Roman"/>
                <w:b w:val="0"/>
                <w:sz w:val="22"/>
                <w:szCs w:val="22"/>
              </w:rPr>
              <w:t>p-</w:t>
            </w:r>
            <w:r w:rsidR="00024C1F" w:rsidRPr="00240A8F">
              <w:rPr>
                <w:rFonts w:cs="Times New Roman"/>
                <w:b w:val="0"/>
                <w:sz w:val="22"/>
                <w:szCs w:val="22"/>
              </w:rPr>
              <w:t>value</w:t>
            </w:r>
          </w:p>
        </w:tc>
        <w:tc>
          <w:tcPr>
            <w:tcW w:w="1843" w:type="dxa"/>
            <w:tcBorders>
              <w:bottom w:val="single" w:sz="12" w:space="0" w:color="auto"/>
            </w:tcBorders>
          </w:tcPr>
          <w:p w14:paraId="335D9019" w14:textId="6039F97E" w:rsidR="00024C1F" w:rsidRPr="00240A8F" w:rsidRDefault="00081504" w:rsidP="001930F4">
            <w:pPr>
              <w:spacing w:before="20" w:after="20" w:line="276" w:lineRule="auto"/>
              <w:jc w:val="center"/>
              <w:rPr>
                <w:rFonts w:cs="Times New Roman"/>
                <w:b w:val="0"/>
                <w:sz w:val="22"/>
                <w:szCs w:val="22"/>
              </w:rPr>
            </w:pPr>
            <w:r w:rsidRPr="00240A8F">
              <w:rPr>
                <w:rFonts w:cs="Times New Roman"/>
                <w:b w:val="0"/>
                <w:sz w:val="22"/>
                <w:szCs w:val="22"/>
              </w:rPr>
              <w:t>93 (39.4)</w:t>
            </w:r>
            <w:r w:rsidRPr="00240A8F">
              <w:rPr>
                <w:rFonts w:cs="Times New Roman"/>
                <w:b w:val="0"/>
                <w:sz w:val="22"/>
                <w:szCs w:val="22"/>
              </w:rPr>
              <w:br/>
              <w:t>0.783</w:t>
            </w:r>
            <w:r w:rsidRPr="00240A8F">
              <w:rPr>
                <w:rFonts w:cs="Times New Roman"/>
                <w:b w:val="0"/>
                <w:sz w:val="22"/>
                <w:szCs w:val="22"/>
              </w:rPr>
              <w:br/>
            </w:r>
            <w:r w:rsidR="00024C1F" w:rsidRPr="00240A8F">
              <w:rPr>
                <w:rFonts w:cs="Times New Roman"/>
                <w:b w:val="0"/>
                <w:sz w:val="22"/>
                <w:szCs w:val="22"/>
              </w:rPr>
              <w:t>(0.590, 1.039)</w:t>
            </w:r>
          </w:p>
          <w:p w14:paraId="276DEE2B"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0.0904</w:t>
            </w:r>
          </w:p>
        </w:tc>
        <w:tc>
          <w:tcPr>
            <w:tcW w:w="1842" w:type="dxa"/>
            <w:tcBorders>
              <w:bottom w:val="single" w:sz="12" w:space="0" w:color="auto"/>
            </w:tcBorders>
          </w:tcPr>
          <w:p w14:paraId="3F56AE5B" w14:textId="6EAA741D" w:rsidR="00024C1F" w:rsidRPr="00240A8F" w:rsidRDefault="00081504" w:rsidP="001930F4">
            <w:pPr>
              <w:spacing w:before="20" w:after="20" w:line="276" w:lineRule="auto"/>
              <w:jc w:val="center"/>
              <w:rPr>
                <w:rFonts w:cs="Times New Roman"/>
                <w:b w:val="0"/>
                <w:sz w:val="22"/>
                <w:szCs w:val="22"/>
              </w:rPr>
            </w:pPr>
            <w:r w:rsidRPr="00240A8F">
              <w:rPr>
                <w:rFonts w:cs="Times New Roman"/>
                <w:b w:val="0"/>
                <w:sz w:val="22"/>
                <w:szCs w:val="22"/>
              </w:rPr>
              <w:t>97 (40.2)</w:t>
            </w:r>
            <w:r w:rsidRPr="00240A8F">
              <w:rPr>
                <w:rFonts w:cs="Times New Roman"/>
                <w:b w:val="0"/>
                <w:sz w:val="22"/>
                <w:szCs w:val="22"/>
              </w:rPr>
              <w:br/>
              <w:t>0.799</w:t>
            </w:r>
            <w:r w:rsidRPr="00240A8F">
              <w:rPr>
                <w:rFonts w:cs="Times New Roman"/>
                <w:b w:val="0"/>
                <w:sz w:val="22"/>
                <w:szCs w:val="22"/>
              </w:rPr>
              <w:br/>
            </w:r>
            <w:r w:rsidR="00024C1F" w:rsidRPr="00240A8F">
              <w:rPr>
                <w:rFonts w:cs="Times New Roman"/>
                <w:b w:val="0"/>
                <w:sz w:val="22"/>
                <w:szCs w:val="22"/>
              </w:rPr>
              <w:t>(0.603, 1.059)</w:t>
            </w:r>
          </w:p>
          <w:p w14:paraId="7B6B9E84" w14:textId="77777777" w:rsidR="00024C1F" w:rsidRPr="00240A8F" w:rsidRDefault="00024C1F" w:rsidP="001930F4">
            <w:pPr>
              <w:spacing w:before="20" w:after="20" w:line="276" w:lineRule="auto"/>
              <w:jc w:val="center"/>
              <w:rPr>
                <w:rFonts w:cs="Times New Roman"/>
                <w:b w:val="0"/>
                <w:sz w:val="22"/>
                <w:szCs w:val="22"/>
              </w:rPr>
            </w:pPr>
            <w:r w:rsidRPr="00240A8F">
              <w:rPr>
                <w:rFonts w:cs="Times New Roman"/>
                <w:b w:val="0"/>
                <w:sz w:val="22"/>
                <w:szCs w:val="22"/>
              </w:rPr>
              <w:t>0.1178</w:t>
            </w:r>
          </w:p>
        </w:tc>
        <w:tc>
          <w:tcPr>
            <w:tcW w:w="1560" w:type="dxa"/>
            <w:tcBorders>
              <w:bottom w:val="single" w:sz="12" w:space="0" w:color="auto"/>
            </w:tcBorders>
          </w:tcPr>
          <w:p w14:paraId="6AAD1667" w14:textId="77777777" w:rsidR="00BD7676" w:rsidRPr="00240A8F" w:rsidRDefault="00024C1F" w:rsidP="00BD7676">
            <w:pPr>
              <w:spacing w:before="20" w:after="20" w:line="276" w:lineRule="auto"/>
              <w:jc w:val="center"/>
              <w:rPr>
                <w:rFonts w:cs="Times New Roman"/>
                <w:b w:val="0"/>
                <w:sz w:val="22"/>
                <w:szCs w:val="22"/>
              </w:rPr>
            </w:pPr>
            <w:r w:rsidRPr="00240A8F">
              <w:rPr>
                <w:rFonts w:cs="Times New Roman"/>
                <w:b w:val="0"/>
                <w:sz w:val="22"/>
                <w:szCs w:val="22"/>
              </w:rPr>
              <w:t>106 (45.7)</w:t>
            </w:r>
            <w:r w:rsidRPr="00240A8F">
              <w:rPr>
                <w:rFonts w:cs="Times New Roman"/>
                <w:b w:val="0"/>
                <w:sz w:val="22"/>
                <w:szCs w:val="22"/>
              </w:rPr>
              <w:br/>
            </w:r>
            <w:r w:rsidR="00BC5BA0" w:rsidRPr="00240A8F">
              <w:rPr>
                <w:rFonts w:cs="Times New Roman"/>
                <w:b w:val="0"/>
                <w:sz w:val="22"/>
                <w:szCs w:val="22"/>
              </w:rPr>
              <w:t>–</w:t>
            </w:r>
            <w:r w:rsidR="00BD7676" w:rsidRPr="00240A8F">
              <w:rPr>
                <w:rFonts w:cs="Times New Roman"/>
                <w:b w:val="0"/>
                <w:sz w:val="22"/>
                <w:szCs w:val="22"/>
              </w:rPr>
              <w:br/>
            </w:r>
            <w:r w:rsidR="00BC5BA0" w:rsidRPr="00240A8F">
              <w:rPr>
                <w:rFonts w:cs="Times New Roman"/>
                <w:b w:val="0"/>
                <w:sz w:val="22"/>
                <w:szCs w:val="22"/>
              </w:rPr>
              <w:t>–</w:t>
            </w:r>
          </w:p>
          <w:p w14:paraId="0D414F5A" w14:textId="77777777" w:rsidR="00024C1F" w:rsidRPr="00240A8F" w:rsidRDefault="00BC5BA0" w:rsidP="00BD7676">
            <w:pPr>
              <w:spacing w:before="20" w:after="20" w:line="276" w:lineRule="auto"/>
              <w:jc w:val="center"/>
              <w:rPr>
                <w:rFonts w:cs="Times New Roman"/>
                <w:b w:val="0"/>
                <w:sz w:val="22"/>
                <w:szCs w:val="22"/>
              </w:rPr>
            </w:pPr>
            <w:r w:rsidRPr="00240A8F">
              <w:rPr>
                <w:rFonts w:cs="Times New Roman"/>
                <w:b w:val="0"/>
                <w:sz w:val="22"/>
                <w:szCs w:val="22"/>
              </w:rPr>
              <w:t>–</w:t>
            </w:r>
          </w:p>
        </w:tc>
      </w:tr>
    </w:tbl>
    <w:p w14:paraId="69A3E5E2" w14:textId="77777777" w:rsidR="005B257C" w:rsidRPr="00240A8F" w:rsidRDefault="005B257C" w:rsidP="00561665">
      <w:pPr>
        <w:spacing w:before="240" w:after="0" w:line="360" w:lineRule="auto"/>
        <w:rPr>
          <w:rFonts w:cs="Times New Roman"/>
          <w:b w:val="0"/>
          <w:sz w:val="20"/>
        </w:rPr>
      </w:pPr>
      <w:r w:rsidRPr="00240A8F">
        <w:rPr>
          <w:rFonts w:cs="Times New Roman"/>
          <w:b w:val="0"/>
          <w:sz w:val="20"/>
        </w:rPr>
        <w:t>BFF</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budesonide/formoterol fumarate</w:t>
      </w:r>
      <w:r w:rsidR="00911B73" w:rsidRPr="00240A8F">
        <w:rPr>
          <w:rFonts w:cs="Times New Roman"/>
          <w:b w:val="0"/>
          <w:sz w:val="20"/>
        </w:rPr>
        <w:t xml:space="preserve"> dihydrate</w:t>
      </w:r>
      <w:r w:rsidRPr="00240A8F">
        <w:rPr>
          <w:rFonts w:cs="Times New Roman"/>
          <w:b w:val="0"/>
          <w:sz w:val="20"/>
        </w:rPr>
        <w:t>; CI</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confidence interval; CID</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clinically important deterioration; COPD</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chronic obstructive pulmonary disease; EXACT</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 xml:space="preserve">Exacerbations of </w:t>
      </w:r>
      <w:r w:rsidR="00CE4575" w:rsidRPr="00240A8F">
        <w:rPr>
          <w:rFonts w:cs="Times New Roman"/>
          <w:b w:val="0"/>
          <w:sz w:val="20"/>
        </w:rPr>
        <w:t>COPD</w:t>
      </w:r>
      <w:r w:rsidRPr="00240A8F">
        <w:rPr>
          <w:rFonts w:cs="Times New Roman"/>
          <w:b w:val="0"/>
          <w:sz w:val="20"/>
        </w:rPr>
        <w:t xml:space="preserve"> Tool; FEV</w:t>
      </w:r>
      <w:r w:rsidRPr="00240A8F">
        <w:rPr>
          <w:rFonts w:cs="Times New Roman"/>
          <w:b w:val="0"/>
          <w:sz w:val="20"/>
          <w:vertAlign w:val="subscript"/>
        </w:rPr>
        <w:t>1</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forced expiratory volume in 1 second; FF</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formoterol fumarate</w:t>
      </w:r>
      <w:r w:rsidR="00382B94" w:rsidRPr="00240A8F">
        <w:rPr>
          <w:rFonts w:cs="Times New Roman"/>
          <w:b w:val="0"/>
          <w:sz w:val="20"/>
        </w:rPr>
        <w:t xml:space="preserve"> dihydrate</w:t>
      </w:r>
      <w:r w:rsidRPr="00240A8F">
        <w:rPr>
          <w:rFonts w:cs="Times New Roman"/>
          <w:b w:val="0"/>
          <w:sz w:val="20"/>
        </w:rPr>
        <w:t>; HR</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hazard ratio; LSM</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least squares mean; MCID</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minimal clinically important difference; MDI</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metered dose inhaler; SE</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 xml:space="preserve">standard error; </w:t>
      </w:r>
      <w:r w:rsidR="004714C3" w:rsidRPr="00240A8F">
        <w:rPr>
          <w:rFonts w:cs="Times New Roman"/>
          <w:b w:val="0"/>
          <w:sz w:val="20"/>
        </w:rPr>
        <w:t>SGRQ</w:t>
      </w:r>
      <w:r w:rsidR="00505130" w:rsidRPr="00240A8F">
        <w:rPr>
          <w:rFonts w:cs="Times New Roman"/>
          <w:b w:val="0"/>
          <w:sz w:val="20"/>
        </w:rPr>
        <w:t>:</w:t>
      </w:r>
      <w:r w:rsidR="00B11842" w:rsidRPr="00240A8F">
        <w:rPr>
          <w:rFonts w:cs="Times New Roman"/>
          <w:b w:val="0"/>
          <w:sz w:val="20"/>
        </w:rPr>
        <w:t xml:space="preserve"> </w:t>
      </w:r>
      <w:r w:rsidR="00C17DD4" w:rsidRPr="00240A8F">
        <w:rPr>
          <w:rFonts w:cs="Times New Roman"/>
          <w:b w:val="0"/>
          <w:sz w:val="20"/>
        </w:rPr>
        <w:t xml:space="preserve">St George’s Respiratory Questionnaire; </w:t>
      </w:r>
      <w:r w:rsidRPr="00240A8F">
        <w:rPr>
          <w:rFonts w:cs="Times New Roman"/>
          <w:b w:val="0"/>
          <w:sz w:val="20"/>
        </w:rPr>
        <w:t>TDI</w:t>
      </w:r>
      <w:r w:rsidR="00505130" w:rsidRPr="00240A8F">
        <w:rPr>
          <w:rFonts w:cs="Times New Roman"/>
          <w:b w:val="0"/>
          <w:sz w:val="20"/>
        </w:rPr>
        <w:t>:</w:t>
      </w:r>
      <w:r w:rsidR="00B11842" w:rsidRPr="00240A8F">
        <w:rPr>
          <w:rFonts w:cs="Times New Roman"/>
          <w:b w:val="0"/>
          <w:sz w:val="20"/>
        </w:rPr>
        <w:t xml:space="preserve"> </w:t>
      </w:r>
      <w:r w:rsidRPr="00240A8F">
        <w:rPr>
          <w:rFonts w:cs="Times New Roman"/>
          <w:b w:val="0"/>
          <w:sz w:val="20"/>
        </w:rPr>
        <w:t xml:space="preserve">Transition </w:t>
      </w:r>
      <w:r w:rsidR="00505130" w:rsidRPr="00240A8F">
        <w:rPr>
          <w:rFonts w:cs="Times New Roman"/>
          <w:b w:val="0"/>
          <w:sz w:val="20"/>
        </w:rPr>
        <w:t>Dyspnoea</w:t>
      </w:r>
      <w:r w:rsidRPr="00240A8F">
        <w:rPr>
          <w:rFonts w:cs="Times New Roman"/>
          <w:b w:val="0"/>
          <w:sz w:val="20"/>
        </w:rPr>
        <w:t xml:space="preserve"> Index.</w:t>
      </w:r>
    </w:p>
    <w:p w14:paraId="4FB705CA" w14:textId="0BB6BFB3" w:rsidR="00FC5CCC" w:rsidRPr="00240A8F" w:rsidRDefault="00505130" w:rsidP="00561665">
      <w:pPr>
        <w:spacing w:after="0" w:line="360" w:lineRule="auto"/>
        <w:rPr>
          <w:rFonts w:cs="Times New Roman"/>
          <w:b w:val="0"/>
          <w:sz w:val="20"/>
        </w:rPr>
      </w:pPr>
      <w:r w:rsidRPr="00240A8F">
        <w:rPr>
          <w:rFonts w:cs="Times New Roman"/>
          <w:b w:val="0"/>
          <w:sz w:val="20"/>
          <w:vertAlign w:val="superscript"/>
        </w:rPr>
        <w:t>#</w:t>
      </w:r>
      <w:r w:rsidR="004714C3" w:rsidRPr="00240A8F">
        <w:rPr>
          <w:rFonts w:cs="Times New Roman"/>
          <w:b w:val="0"/>
          <w:sz w:val="20"/>
        </w:rPr>
        <w:t>N</w:t>
      </w:r>
      <w:r w:rsidR="007229CD" w:rsidRPr="00240A8F">
        <w:rPr>
          <w:rFonts w:cs="Times New Roman"/>
          <w:b w:val="0"/>
          <w:sz w:val="20"/>
        </w:rPr>
        <w:t>ominally significant (</w:t>
      </w:r>
      <w:r w:rsidR="00642D7A" w:rsidRPr="00240A8F">
        <w:rPr>
          <w:rFonts w:cs="Times New Roman"/>
          <w:b w:val="0"/>
          <w:i/>
          <w:sz w:val="20"/>
        </w:rPr>
        <w:t>p</w:t>
      </w:r>
      <w:r w:rsidR="007229CD" w:rsidRPr="00240A8F">
        <w:rPr>
          <w:rFonts w:cs="Times New Roman"/>
          <w:b w:val="0"/>
          <w:sz w:val="20"/>
        </w:rPr>
        <w:t>&lt;0.05 but not statistically significant after Type I error control)</w:t>
      </w:r>
      <w:r w:rsidR="00FC5CCC" w:rsidRPr="00240A8F">
        <w:rPr>
          <w:rFonts w:cs="Times New Roman"/>
          <w:b w:val="0"/>
          <w:sz w:val="20"/>
        </w:rPr>
        <w:t>.</w:t>
      </w:r>
    </w:p>
    <w:p w14:paraId="3B65E56F" w14:textId="77777777" w:rsidR="00FC5CCC" w:rsidRPr="00240A8F" w:rsidRDefault="00A50A28" w:rsidP="00561665">
      <w:pPr>
        <w:spacing w:after="0" w:line="360" w:lineRule="auto"/>
        <w:rPr>
          <w:rFonts w:cs="Times New Roman"/>
          <w:b w:val="0"/>
          <w:sz w:val="20"/>
        </w:rPr>
      </w:pPr>
      <w:r w:rsidRPr="00240A8F">
        <w:rPr>
          <w:rFonts w:cs="Times New Roman"/>
          <w:sz w:val="20"/>
          <w:vertAlign w:val="superscript"/>
        </w:rPr>
        <w:t>¶</w:t>
      </w:r>
      <w:r w:rsidR="007229CD" w:rsidRPr="00240A8F">
        <w:rPr>
          <w:rFonts w:cs="Times New Roman"/>
          <w:b w:val="0"/>
          <w:sz w:val="20"/>
        </w:rPr>
        <w:t>CID defined as either a ≥100 mL decrease from baseline in trough FEV</w:t>
      </w:r>
      <w:r w:rsidR="007229CD" w:rsidRPr="00240A8F">
        <w:rPr>
          <w:rFonts w:cs="Times New Roman"/>
          <w:b w:val="0"/>
          <w:sz w:val="20"/>
          <w:vertAlign w:val="subscript"/>
        </w:rPr>
        <w:t>1</w:t>
      </w:r>
      <w:r w:rsidR="007229CD" w:rsidRPr="00240A8F">
        <w:rPr>
          <w:rFonts w:cs="Times New Roman"/>
          <w:b w:val="0"/>
          <w:sz w:val="20"/>
        </w:rPr>
        <w:t>; ≥4 points increase from baseline in SGRQ total score;</w:t>
      </w:r>
      <w:r w:rsidR="00DC7894" w:rsidRPr="00240A8F">
        <w:rPr>
          <w:rFonts w:cs="Times New Roman"/>
          <w:b w:val="0"/>
          <w:sz w:val="20"/>
        </w:rPr>
        <w:t xml:space="preserve"> a TDI focal score of ≤</w:t>
      </w:r>
      <w:r w:rsidR="002F7425" w:rsidRPr="00240A8F">
        <w:rPr>
          <w:rFonts w:cs="Times New Roman"/>
          <w:b w:val="0"/>
          <w:sz w:val="20"/>
        </w:rPr>
        <w:t>−</w:t>
      </w:r>
      <w:r w:rsidR="00DC7894" w:rsidRPr="00240A8F">
        <w:rPr>
          <w:rFonts w:cs="Times New Roman"/>
          <w:b w:val="0"/>
          <w:sz w:val="20"/>
        </w:rPr>
        <w:t>1 point</w:t>
      </w:r>
      <w:r w:rsidR="007229CD" w:rsidRPr="00240A8F">
        <w:rPr>
          <w:rFonts w:cs="Times New Roman"/>
          <w:b w:val="0"/>
          <w:sz w:val="20"/>
        </w:rPr>
        <w:t>; or treatment-emergent moderate-or-severe COPD exace</w:t>
      </w:r>
      <w:r w:rsidR="00E06043" w:rsidRPr="00240A8F">
        <w:rPr>
          <w:rFonts w:cs="Times New Roman"/>
          <w:b w:val="0"/>
          <w:sz w:val="20"/>
        </w:rPr>
        <w:t>r</w:t>
      </w:r>
      <w:r w:rsidR="00186ECC" w:rsidRPr="00240A8F">
        <w:rPr>
          <w:rFonts w:cs="Times New Roman"/>
          <w:b w:val="0"/>
          <w:sz w:val="20"/>
        </w:rPr>
        <w:t>bation occurring up to w</w:t>
      </w:r>
      <w:r w:rsidR="00FC5CCC" w:rsidRPr="00240A8F">
        <w:rPr>
          <w:rFonts w:cs="Times New Roman"/>
          <w:b w:val="0"/>
          <w:sz w:val="20"/>
        </w:rPr>
        <w:t>eek 52.</w:t>
      </w:r>
    </w:p>
    <w:p w14:paraId="4F1F9F00" w14:textId="6BA0FD2D" w:rsidR="00F272C5" w:rsidRPr="00240A8F" w:rsidRDefault="00A50A28" w:rsidP="0052181D">
      <w:pPr>
        <w:spacing w:after="160" w:line="360" w:lineRule="auto"/>
        <w:rPr>
          <w:rFonts w:cs="Times New Roman"/>
          <w:b w:val="0"/>
          <w:sz w:val="20"/>
        </w:rPr>
      </w:pPr>
      <w:r w:rsidRPr="00240A8F">
        <w:rPr>
          <w:rFonts w:cs="Times New Roman"/>
          <w:b w:val="0"/>
          <w:sz w:val="20"/>
          <w:vertAlign w:val="superscript"/>
        </w:rPr>
        <w:t>+</w:t>
      </w:r>
      <w:r w:rsidR="0052181D" w:rsidRPr="00240A8F">
        <w:rPr>
          <w:rFonts w:cs="Times New Roman"/>
          <w:b w:val="0"/>
          <w:sz w:val="20"/>
        </w:rPr>
        <w:t xml:space="preserve">Rate of exacerbations per year = total number of exacerbations / total years of exposure across all patients for the treatment. </w:t>
      </w:r>
      <w:r w:rsidR="0052181D" w:rsidRPr="00240A8F">
        <w:rPr>
          <w:rFonts w:cs="Times New Roman"/>
          <w:b w:val="0"/>
          <w:sz w:val="20"/>
        </w:rPr>
        <w:br/>
      </w:r>
      <w:r w:rsidRPr="00240A8F">
        <w:rPr>
          <w:rFonts w:cs="Times New Roman"/>
          <w:b w:val="0"/>
          <w:sz w:val="22"/>
          <w:szCs w:val="22"/>
          <w:vertAlign w:val="superscript"/>
        </w:rPr>
        <w:t>##</w:t>
      </w:r>
      <w:r w:rsidR="0052181D" w:rsidRPr="00240A8F">
        <w:rPr>
          <w:rFonts w:cs="Times New Roman"/>
          <w:b w:val="0"/>
          <w:sz w:val="20"/>
        </w:rPr>
        <w:t>Nominally significant as not included in the Type I error control.</w:t>
      </w:r>
    </w:p>
    <w:p w14:paraId="1A1D9A5D" w14:textId="77777777" w:rsidR="00F272C5" w:rsidRPr="00240A8F" w:rsidRDefault="00F272C5">
      <w:pPr>
        <w:spacing w:after="160" w:line="259" w:lineRule="auto"/>
        <w:rPr>
          <w:rFonts w:cs="Times New Roman"/>
          <w:b w:val="0"/>
          <w:sz w:val="20"/>
        </w:rPr>
      </w:pPr>
      <w:r w:rsidRPr="00240A8F">
        <w:rPr>
          <w:rFonts w:cs="Times New Roman"/>
          <w:b w:val="0"/>
          <w:sz w:val="20"/>
        </w:rPr>
        <w:br w:type="page"/>
      </w:r>
    </w:p>
    <w:p w14:paraId="4E7AB7FB" w14:textId="45B7B734" w:rsidR="00F272C5" w:rsidRPr="009D5002" w:rsidRDefault="00F272C5" w:rsidP="00F272C5">
      <w:pPr>
        <w:spacing w:after="0" w:line="480" w:lineRule="auto"/>
        <w:rPr>
          <w:rFonts w:cs="Times New Roman"/>
          <w:szCs w:val="24"/>
        </w:rPr>
      </w:pPr>
      <w:r w:rsidRPr="00240A8F">
        <w:rPr>
          <w:rFonts w:cs="Times New Roman"/>
          <w:szCs w:val="24"/>
        </w:rPr>
        <w:lastRenderedPageBreak/>
        <w:t xml:space="preserve">TABLE E3 </w:t>
      </w:r>
      <w:r w:rsidRPr="00240A8F">
        <w:rPr>
          <w:rFonts w:cs="Times New Roman"/>
          <w:b w:val="0"/>
          <w:szCs w:val="24"/>
        </w:rPr>
        <w:t xml:space="preserve">Model-estimated annual rates of moderate/severe COPD exacerbations by ICS use at </w:t>
      </w:r>
      <w:r w:rsidRPr="009D5002">
        <w:rPr>
          <w:rFonts w:cs="Times New Roman"/>
          <w:b w:val="0"/>
          <w:szCs w:val="24"/>
        </w:rPr>
        <w:t>baseline</w:t>
      </w:r>
      <w:r w:rsidR="00864076" w:rsidRPr="009D5002">
        <w:rPr>
          <w:rFonts w:cs="Times New Roman"/>
          <w:b w:val="0"/>
          <w:szCs w:val="24"/>
        </w:rPr>
        <w:t xml:space="preserve"> (modified intent-to-treat population; efficacy </w:t>
      </w:r>
      <w:proofErr w:type="spellStart"/>
      <w:r w:rsidR="00864076" w:rsidRPr="009D5002">
        <w:rPr>
          <w:rFonts w:cs="Times New Roman"/>
          <w:b w:val="0"/>
          <w:szCs w:val="24"/>
        </w:rPr>
        <w:t>estimand</w:t>
      </w:r>
      <w:proofErr w:type="spellEnd"/>
      <w:r w:rsidR="00864076" w:rsidRPr="009D5002">
        <w:rPr>
          <w:rFonts w:cs="Times New Roman"/>
          <w:b w:val="0"/>
          <w:szCs w:val="24"/>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842"/>
        <w:gridCol w:w="1843"/>
        <w:gridCol w:w="1701"/>
      </w:tblGrid>
      <w:tr w:rsidR="00F272C5" w:rsidRPr="009D5002" w14:paraId="27B9BC13" w14:textId="77777777" w:rsidTr="00414F3A">
        <w:trPr>
          <w:trHeight w:val="529"/>
        </w:trPr>
        <w:tc>
          <w:tcPr>
            <w:tcW w:w="3828" w:type="dxa"/>
            <w:tcBorders>
              <w:top w:val="single" w:sz="12" w:space="0" w:color="auto"/>
              <w:bottom w:val="single" w:sz="12" w:space="0" w:color="auto"/>
            </w:tcBorders>
          </w:tcPr>
          <w:p w14:paraId="54F107AD" w14:textId="77777777" w:rsidR="00F272C5" w:rsidRPr="009D5002" w:rsidRDefault="00F272C5" w:rsidP="00414F3A">
            <w:pPr>
              <w:spacing w:after="0"/>
              <w:rPr>
                <w:rFonts w:cs="Times New Roman"/>
                <w:b w:val="0"/>
                <w:sz w:val="22"/>
                <w:szCs w:val="22"/>
              </w:rPr>
            </w:pPr>
          </w:p>
        </w:tc>
        <w:tc>
          <w:tcPr>
            <w:tcW w:w="1842" w:type="dxa"/>
            <w:tcBorders>
              <w:top w:val="single" w:sz="12" w:space="0" w:color="auto"/>
              <w:bottom w:val="single" w:sz="12" w:space="0" w:color="auto"/>
            </w:tcBorders>
          </w:tcPr>
          <w:p w14:paraId="3DC05C7A" w14:textId="77777777" w:rsidR="00F272C5" w:rsidRPr="009D5002" w:rsidRDefault="00F272C5" w:rsidP="00414F3A">
            <w:pPr>
              <w:spacing w:after="0"/>
              <w:jc w:val="center"/>
              <w:rPr>
                <w:rFonts w:cs="Times New Roman"/>
                <w:sz w:val="22"/>
                <w:szCs w:val="22"/>
              </w:rPr>
            </w:pPr>
            <w:r w:rsidRPr="009D5002">
              <w:rPr>
                <w:rFonts w:cs="Times New Roman"/>
                <w:sz w:val="22"/>
                <w:szCs w:val="22"/>
              </w:rPr>
              <w:t>BFF MDI</w:t>
            </w:r>
          </w:p>
          <w:p w14:paraId="17A88BFD" w14:textId="77777777" w:rsidR="00F272C5" w:rsidRPr="009D5002" w:rsidRDefault="00F272C5" w:rsidP="00414F3A">
            <w:pPr>
              <w:spacing w:after="0"/>
              <w:jc w:val="center"/>
              <w:rPr>
                <w:rFonts w:cs="Times New Roman"/>
                <w:sz w:val="22"/>
                <w:szCs w:val="22"/>
              </w:rPr>
            </w:pPr>
            <w:r w:rsidRPr="009D5002">
              <w:rPr>
                <w:rFonts w:cs="Times New Roman"/>
                <w:sz w:val="22"/>
                <w:szCs w:val="22"/>
              </w:rPr>
              <w:t>320/10 µg</w:t>
            </w:r>
          </w:p>
          <w:p w14:paraId="380F3051" w14:textId="77777777" w:rsidR="00F272C5" w:rsidRPr="009D5002" w:rsidRDefault="00F272C5" w:rsidP="00414F3A">
            <w:pPr>
              <w:spacing w:after="0"/>
              <w:jc w:val="center"/>
              <w:rPr>
                <w:rFonts w:cs="Times New Roman"/>
                <w:sz w:val="22"/>
                <w:szCs w:val="22"/>
              </w:rPr>
            </w:pPr>
            <w:r w:rsidRPr="009D5002">
              <w:rPr>
                <w:rFonts w:cs="Times New Roman"/>
                <w:sz w:val="22"/>
                <w:szCs w:val="22"/>
              </w:rPr>
              <w:t>(N=619)</w:t>
            </w:r>
          </w:p>
        </w:tc>
        <w:tc>
          <w:tcPr>
            <w:tcW w:w="1843" w:type="dxa"/>
            <w:tcBorders>
              <w:top w:val="single" w:sz="12" w:space="0" w:color="auto"/>
              <w:bottom w:val="single" w:sz="12" w:space="0" w:color="auto"/>
            </w:tcBorders>
          </w:tcPr>
          <w:p w14:paraId="39BD713D" w14:textId="77777777" w:rsidR="00F272C5" w:rsidRPr="009D5002" w:rsidRDefault="00F272C5" w:rsidP="00414F3A">
            <w:pPr>
              <w:spacing w:after="0"/>
              <w:jc w:val="center"/>
              <w:rPr>
                <w:rFonts w:cs="Times New Roman"/>
                <w:sz w:val="22"/>
                <w:szCs w:val="22"/>
              </w:rPr>
            </w:pPr>
            <w:r w:rsidRPr="009D5002">
              <w:rPr>
                <w:rFonts w:cs="Times New Roman"/>
                <w:sz w:val="22"/>
                <w:szCs w:val="22"/>
              </w:rPr>
              <w:t>BFF MDI</w:t>
            </w:r>
          </w:p>
          <w:p w14:paraId="33ADF486" w14:textId="77777777" w:rsidR="00F272C5" w:rsidRPr="009D5002" w:rsidRDefault="00F272C5" w:rsidP="00414F3A">
            <w:pPr>
              <w:spacing w:after="0"/>
              <w:jc w:val="center"/>
              <w:rPr>
                <w:rFonts w:cs="Times New Roman"/>
                <w:sz w:val="22"/>
                <w:szCs w:val="22"/>
              </w:rPr>
            </w:pPr>
            <w:r w:rsidRPr="009D5002">
              <w:rPr>
                <w:rFonts w:cs="Times New Roman"/>
                <w:sz w:val="22"/>
                <w:szCs w:val="22"/>
              </w:rPr>
              <w:t>160/10 µg</w:t>
            </w:r>
          </w:p>
          <w:p w14:paraId="338A7778" w14:textId="77777777" w:rsidR="00F272C5" w:rsidRPr="009D5002" w:rsidRDefault="00F272C5" w:rsidP="00414F3A">
            <w:pPr>
              <w:spacing w:after="0"/>
              <w:jc w:val="center"/>
              <w:rPr>
                <w:rFonts w:cs="Times New Roman"/>
                <w:sz w:val="22"/>
                <w:szCs w:val="22"/>
              </w:rPr>
            </w:pPr>
            <w:r w:rsidRPr="009D5002">
              <w:rPr>
                <w:rFonts w:cs="Times New Roman"/>
                <w:sz w:val="22"/>
                <w:szCs w:val="22"/>
              </w:rPr>
              <w:t>(N=617)</w:t>
            </w:r>
          </w:p>
        </w:tc>
        <w:tc>
          <w:tcPr>
            <w:tcW w:w="1701" w:type="dxa"/>
            <w:tcBorders>
              <w:top w:val="single" w:sz="12" w:space="0" w:color="auto"/>
              <w:bottom w:val="single" w:sz="12" w:space="0" w:color="auto"/>
            </w:tcBorders>
          </w:tcPr>
          <w:p w14:paraId="621618AC" w14:textId="77777777" w:rsidR="00F272C5" w:rsidRPr="009D5002" w:rsidRDefault="00F272C5" w:rsidP="00414F3A">
            <w:pPr>
              <w:spacing w:after="0"/>
              <w:jc w:val="center"/>
              <w:rPr>
                <w:rFonts w:cs="Times New Roman"/>
                <w:sz w:val="22"/>
                <w:szCs w:val="22"/>
              </w:rPr>
            </w:pPr>
            <w:r w:rsidRPr="009D5002">
              <w:rPr>
                <w:rFonts w:cs="Times New Roman"/>
                <w:sz w:val="22"/>
                <w:szCs w:val="22"/>
              </w:rPr>
              <w:t>FF MDI</w:t>
            </w:r>
          </w:p>
          <w:p w14:paraId="04BD75C6" w14:textId="77777777" w:rsidR="00F272C5" w:rsidRPr="009D5002" w:rsidRDefault="00F272C5" w:rsidP="00414F3A">
            <w:pPr>
              <w:spacing w:after="0"/>
              <w:jc w:val="center"/>
              <w:rPr>
                <w:rFonts w:cs="Times New Roman"/>
                <w:sz w:val="22"/>
                <w:szCs w:val="22"/>
              </w:rPr>
            </w:pPr>
            <w:r w:rsidRPr="009D5002">
              <w:rPr>
                <w:rFonts w:cs="Times New Roman"/>
                <w:sz w:val="22"/>
                <w:szCs w:val="22"/>
              </w:rPr>
              <w:t>10 µg</w:t>
            </w:r>
          </w:p>
          <w:p w14:paraId="735BE6FF" w14:textId="77777777" w:rsidR="00F272C5" w:rsidRPr="009D5002" w:rsidRDefault="00F272C5" w:rsidP="00414F3A">
            <w:pPr>
              <w:spacing w:after="0"/>
              <w:jc w:val="center"/>
              <w:rPr>
                <w:rFonts w:cs="Times New Roman"/>
                <w:sz w:val="22"/>
                <w:szCs w:val="22"/>
              </w:rPr>
            </w:pPr>
            <w:r w:rsidRPr="009D5002">
              <w:rPr>
                <w:rFonts w:cs="Times New Roman"/>
                <w:sz w:val="22"/>
                <w:szCs w:val="22"/>
              </w:rPr>
              <w:t>(N=607)</w:t>
            </w:r>
          </w:p>
        </w:tc>
      </w:tr>
      <w:tr w:rsidR="00F272C5" w:rsidRPr="009D5002" w14:paraId="688C2EBB" w14:textId="77777777" w:rsidTr="00414F3A">
        <w:trPr>
          <w:trHeight w:val="196"/>
        </w:trPr>
        <w:tc>
          <w:tcPr>
            <w:tcW w:w="3828" w:type="dxa"/>
            <w:tcBorders>
              <w:top w:val="single" w:sz="12" w:space="0" w:color="auto"/>
            </w:tcBorders>
            <w:vAlign w:val="center"/>
          </w:tcPr>
          <w:p w14:paraId="1B70ED10" w14:textId="77777777" w:rsidR="00F272C5" w:rsidRPr="009D5002" w:rsidRDefault="00F272C5" w:rsidP="00414F3A">
            <w:pPr>
              <w:spacing w:after="0" w:line="360" w:lineRule="auto"/>
              <w:rPr>
                <w:rFonts w:cs="Times New Roman"/>
                <w:sz w:val="22"/>
                <w:szCs w:val="22"/>
              </w:rPr>
            </w:pPr>
            <w:r w:rsidRPr="009D5002">
              <w:rPr>
                <w:rFonts w:cs="Times New Roman"/>
                <w:sz w:val="22"/>
                <w:szCs w:val="22"/>
              </w:rPr>
              <w:t xml:space="preserve">Patients using ICS at baseline </w:t>
            </w:r>
          </w:p>
        </w:tc>
        <w:tc>
          <w:tcPr>
            <w:tcW w:w="1842" w:type="dxa"/>
            <w:tcBorders>
              <w:top w:val="single" w:sz="12" w:space="0" w:color="auto"/>
            </w:tcBorders>
            <w:vAlign w:val="center"/>
          </w:tcPr>
          <w:p w14:paraId="56432F37" w14:textId="77777777" w:rsidR="00F272C5" w:rsidRPr="009D5002" w:rsidRDefault="00F272C5" w:rsidP="00414F3A">
            <w:pPr>
              <w:spacing w:after="0" w:line="360" w:lineRule="auto"/>
              <w:jc w:val="center"/>
              <w:rPr>
                <w:rFonts w:cs="Times New Roman"/>
                <w:b w:val="0"/>
                <w:sz w:val="22"/>
                <w:szCs w:val="22"/>
              </w:rPr>
            </w:pPr>
          </w:p>
        </w:tc>
        <w:tc>
          <w:tcPr>
            <w:tcW w:w="1843" w:type="dxa"/>
            <w:tcBorders>
              <w:top w:val="single" w:sz="12" w:space="0" w:color="auto"/>
            </w:tcBorders>
            <w:vAlign w:val="center"/>
          </w:tcPr>
          <w:p w14:paraId="6A7737DB" w14:textId="77777777" w:rsidR="00F272C5" w:rsidRPr="009D5002" w:rsidRDefault="00F272C5" w:rsidP="00414F3A">
            <w:pPr>
              <w:spacing w:after="0" w:line="360" w:lineRule="auto"/>
              <w:jc w:val="center"/>
              <w:rPr>
                <w:rFonts w:cs="Times New Roman"/>
                <w:b w:val="0"/>
                <w:sz w:val="22"/>
                <w:szCs w:val="22"/>
              </w:rPr>
            </w:pPr>
          </w:p>
        </w:tc>
        <w:tc>
          <w:tcPr>
            <w:tcW w:w="1701" w:type="dxa"/>
            <w:tcBorders>
              <w:top w:val="single" w:sz="12" w:space="0" w:color="auto"/>
            </w:tcBorders>
            <w:vAlign w:val="center"/>
          </w:tcPr>
          <w:p w14:paraId="7AA6B574" w14:textId="77777777" w:rsidR="00F272C5" w:rsidRPr="009D5002" w:rsidRDefault="00F272C5" w:rsidP="00414F3A">
            <w:pPr>
              <w:spacing w:after="0" w:line="360" w:lineRule="auto"/>
              <w:jc w:val="center"/>
              <w:rPr>
                <w:rFonts w:cs="Times New Roman"/>
                <w:b w:val="0"/>
                <w:sz w:val="22"/>
                <w:szCs w:val="22"/>
              </w:rPr>
            </w:pPr>
          </w:p>
        </w:tc>
      </w:tr>
      <w:tr w:rsidR="00F272C5" w:rsidRPr="009D5002" w14:paraId="4D7E0A0A" w14:textId="77777777" w:rsidTr="00414F3A">
        <w:trPr>
          <w:trHeight w:val="313"/>
        </w:trPr>
        <w:tc>
          <w:tcPr>
            <w:tcW w:w="3828" w:type="dxa"/>
            <w:vAlign w:val="center"/>
          </w:tcPr>
          <w:p w14:paraId="64E9A50E" w14:textId="77777777" w:rsidR="00F272C5" w:rsidRPr="009D5002" w:rsidRDefault="00F272C5" w:rsidP="00414F3A">
            <w:pPr>
              <w:spacing w:after="0" w:line="360" w:lineRule="auto"/>
              <w:rPr>
                <w:rFonts w:cs="Times New Roman"/>
                <w:b w:val="0"/>
                <w:sz w:val="22"/>
                <w:szCs w:val="22"/>
              </w:rPr>
            </w:pPr>
            <w:r w:rsidRPr="009D5002">
              <w:rPr>
                <w:rFonts w:cs="Times New Roman"/>
                <w:b w:val="0"/>
                <w:sz w:val="22"/>
                <w:szCs w:val="22"/>
              </w:rPr>
              <w:t>N</w:t>
            </w:r>
          </w:p>
          <w:p w14:paraId="726E0437" w14:textId="77777777" w:rsidR="00F272C5" w:rsidRPr="009D5002" w:rsidRDefault="00F272C5" w:rsidP="00414F3A">
            <w:pPr>
              <w:spacing w:after="0" w:line="360" w:lineRule="auto"/>
              <w:rPr>
                <w:rFonts w:cs="Times New Roman"/>
                <w:b w:val="0"/>
                <w:sz w:val="22"/>
                <w:szCs w:val="22"/>
              </w:rPr>
            </w:pPr>
            <w:r w:rsidRPr="009D5002">
              <w:rPr>
                <w:rFonts w:cs="Times New Roman"/>
                <w:b w:val="0"/>
                <w:sz w:val="22"/>
                <w:szCs w:val="22"/>
              </w:rPr>
              <w:t>Rate, per year</w:t>
            </w:r>
          </w:p>
          <w:p w14:paraId="01A4B509" w14:textId="77777777" w:rsidR="00F272C5" w:rsidRPr="009D5002" w:rsidRDefault="00F272C5" w:rsidP="00414F3A">
            <w:pPr>
              <w:spacing w:after="0" w:line="360" w:lineRule="auto"/>
              <w:ind w:left="326"/>
              <w:rPr>
                <w:rFonts w:cs="Times New Roman"/>
                <w:b w:val="0"/>
                <w:i/>
                <w:sz w:val="22"/>
                <w:szCs w:val="22"/>
              </w:rPr>
            </w:pPr>
            <w:r w:rsidRPr="009D5002">
              <w:rPr>
                <w:rFonts w:cs="Times New Roman"/>
                <w:b w:val="0"/>
                <w:i/>
                <w:sz w:val="22"/>
                <w:szCs w:val="22"/>
              </w:rPr>
              <w:t>Rate ratio versus FF MDI (95% CI)</w:t>
            </w:r>
          </w:p>
          <w:p w14:paraId="26C1C1E9" w14:textId="7CE4F543" w:rsidR="00F272C5" w:rsidRPr="009D5002" w:rsidRDefault="007E33DB" w:rsidP="00414F3A">
            <w:pPr>
              <w:spacing w:after="0" w:line="360" w:lineRule="auto"/>
              <w:ind w:left="326"/>
              <w:rPr>
                <w:rFonts w:cs="Times New Roman"/>
                <w:b w:val="0"/>
                <w:i/>
                <w:sz w:val="22"/>
                <w:szCs w:val="22"/>
              </w:rPr>
            </w:pPr>
            <w:r w:rsidRPr="009D5002">
              <w:rPr>
                <w:rFonts w:cs="Times New Roman"/>
                <w:b w:val="0"/>
                <w:i/>
                <w:sz w:val="22"/>
                <w:szCs w:val="22"/>
              </w:rPr>
              <w:t>p</w:t>
            </w:r>
            <w:r w:rsidR="00F272C5" w:rsidRPr="009D5002">
              <w:rPr>
                <w:rFonts w:cs="Times New Roman"/>
                <w:b w:val="0"/>
                <w:i/>
                <w:sz w:val="22"/>
                <w:szCs w:val="22"/>
              </w:rPr>
              <w:t>-value</w:t>
            </w:r>
          </w:p>
        </w:tc>
        <w:tc>
          <w:tcPr>
            <w:tcW w:w="1842" w:type="dxa"/>
            <w:vAlign w:val="center"/>
          </w:tcPr>
          <w:p w14:paraId="7238BE7E"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482</w:t>
            </w:r>
          </w:p>
          <w:p w14:paraId="05F0CB9F"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1.00</w:t>
            </w:r>
          </w:p>
          <w:p w14:paraId="01C0348F"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0.69 (0.55, 0.88)</w:t>
            </w:r>
          </w:p>
          <w:p w14:paraId="45AD025A"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0.003</w:t>
            </w:r>
          </w:p>
        </w:tc>
        <w:tc>
          <w:tcPr>
            <w:tcW w:w="1843" w:type="dxa"/>
            <w:vAlign w:val="center"/>
          </w:tcPr>
          <w:p w14:paraId="19401D94"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459</w:t>
            </w:r>
          </w:p>
          <w:p w14:paraId="4BBB69F1"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1.03</w:t>
            </w:r>
          </w:p>
          <w:p w14:paraId="6FDC1EB6"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0.72 (0.57, 0.92)</w:t>
            </w:r>
          </w:p>
          <w:p w14:paraId="6A9315FD"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0.007</w:t>
            </w:r>
          </w:p>
        </w:tc>
        <w:tc>
          <w:tcPr>
            <w:tcW w:w="1701" w:type="dxa"/>
            <w:vAlign w:val="center"/>
          </w:tcPr>
          <w:p w14:paraId="27BF7E14"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465</w:t>
            </w:r>
          </w:p>
          <w:p w14:paraId="78547FB5"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1.44</w:t>
            </w:r>
          </w:p>
          <w:p w14:paraId="08A217F7" w14:textId="6AB8D611" w:rsidR="00F272C5" w:rsidRPr="009D5002" w:rsidRDefault="00414F3A" w:rsidP="00414F3A">
            <w:pPr>
              <w:spacing w:after="0" w:line="360" w:lineRule="auto"/>
              <w:jc w:val="center"/>
              <w:rPr>
                <w:rFonts w:cs="Times New Roman"/>
                <w:b w:val="0"/>
                <w:sz w:val="22"/>
                <w:szCs w:val="22"/>
              </w:rPr>
            </w:pPr>
            <w:r w:rsidRPr="009D5002">
              <w:rPr>
                <w:rFonts w:cs="Times New Roman"/>
                <w:b w:val="0"/>
                <w:sz w:val="22"/>
                <w:szCs w:val="22"/>
              </w:rPr>
              <w:t>–</w:t>
            </w:r>
            <w:r w:rsidRPr="009D5002">
              <w:rPr>
                <w:rFonts w:cs="Times New Roman"/>
                <w:b w:val="0"/>
                <w:sz w:val="22"/>
                <w:szCs w:val="22"/>
              </w:rPr>
              <w:br/>
              <w:t>–</w:t>
            </w:r>
          </w:p>
        </w:tc>
      </w:tr>
      <w:tr w:rsidR="00F272C5" w:rsidRPr="009D5002" w14:paraId="31F01F37" w14:textId="77777777" w:rsidTr="00414F3A">
        <w:trPr>
          <w:trHeight w:val="352"/>
        </w:trPr>
        <w:tc>
          <w:tcPr>
            <w:tcW w:w="3828" w:type="dxa"/>
            <w:vAlign w:val="center"/>
          </w:tcPr>
          <w:p w14:paraId="7753FB05" w14:textId="77777777" w:rsidR="00F272C5" w:rsidRPr="009D5002" w:rsidRDefault="00F272C5" w:rsidP="00414F3A">
            <w:pPr>
              <w:spacing w:after="0" w:line="360" w:lineRule="auto"/>
              <w:rPr>
                <w:rFonts w:cs="Times New Roman"/>
                <w:b w:val="0"/>
                <w:sz w:val="22"/>
                <w:szCs w:val="22"/>
              </w:rPr>
            </w:pPr>
            <w:r w:rsidRPr="009D5002">
              <w:rPr>
                <w:rFonts w:cs="Times New Roman"/>
                <w:sz w:val="22"/>
                <w:szCs w:val="22"/>
              </w:rPr>
              <w:t>Patients not using ICS at baseline</w:t>
            </w:r>
          </w:p>
        </w:tc>
        <w:tc>
          <w:tcPr>
            <w:tcW w:w="1842" w:type="dxa"/>
            <w:vAlign w:val="center"/>
          </w:tcPr>
          <w:p w14:paraId="6BD1E367" w14:textId="77777777" w:rsidR="00F272C5" w:rsidRPr="009D5002" w:rsidRDefault="00F272C5" w:rsidP="00414F3A">
            <w:pPr>
              <w:spacing w:after="0" w:line="360" w:lineRule="auto"/>
              <w:jc w:val="center"/>
              <w:rPr>
                <w:rFonts w:cs="Times New Roman"/>
                <w:b w:val="0"/>
                <w:sz w:val="22"/>
                <w:szCs w:val="22"/>
              </w:rPr>
            </w:pPr>
          </w:p>
        </w:tc>
        <w:tc>
          <w:tcPr>
            <w:tcW w:w="1843" w:type="dxa"/>
            <w:vAlign w:val="center"/>
          </w:tcPr>
          <w:p w14:paraId="6E0DD888" w14:textId="77777777" w:rsidR="00F272C5" w:rsidRPr="009D5002" w:rsidRDefault="00F272C5" w:rsidP="00414F3A">
            <w:pPr>
              <w:spacing w:after="0" w:line="360" w:lineRule="auto"/>
              <w:jc w:val="center"/>
              <w:rPr>
                <w:rFonts w:cs="Times New Roman"/>
                <w:b w:val="0"/>
                <w:sz w:val="22"/>
                <w:szCs w:val="22"/>
              </w:rPr>
            </w:pPr>
          </w:p>
        </w:tc>
        <w:tc>
          <w:tcPr>
            <w:tcW w:w="1701" w:type="dxa"/>
            <w:vAlign w:val="center"/>
          </w:tcPr>
          <w:p w14:paraId="2438CBD3" w14:textId="77777777" w:rsidR="00F272C5" w:rsidRPr="009D5002" w:rsidRDefault="00F272C5" w:rsidP="00414F3A">
            <w:pPr>
              <w:spacing w:after="0" w:line="360" w:lineRule="auto"/>
              <w:jc w:val="center"/>
              <w:rPr>
                <w:rFonts w:cs="Times New Roman"/>
                <w:b w:val="0"/>
                <w:sz w:val="22"/>
                <w:szCs w:val="22"/>
              </w:rPr>
            </w:pPr>
          </w:p>
        </w:tc>
      </w:tr>
      <w:tr w:rsidR="00F272C5" w:rsidRPr="00240A8F" w14:paraId="515C2D81" w14:textId="77777777" w:rsidTr="00414F3A">
        <w:trPr>
          <w:trHeight w:val="152"/>
        </w:trPr>
        <w:tc>
          <w:tcPr>
            <w:tcW w:w="3828" w:type="dxa"/>
            <w:tcBorders>
              <w:bottom w:val="single" w:sz="12" w:space="0" w:color="auto"/>
            </w:tcBorders>
            <w:vAlign w:val="center"/>
          </w:tcPr>
          <w:p w14:paraId="63EA5858" w14:textId="77777777" w:rsidR="00F272C5" w:rsidRPr="009D5002" w:rsidRDefault="00F272C5" w:rsidP="00414F3A">
            <w:pPr>
              <w:spacing w:after="0" w:line="360" w:lineRule="auto"/>
              <w:rPr>
                <w:rFonts w:cs="Times New Roman"/>
                <w:b w:val="0"/>
                <w:sz w:val="22"/>
                <w:szCs w:val="22"/>
              </w:rPr>
            </w:pPr>
            <w:r w:rsidRPr="009D5002">
              <w:rPr>
                <w:rFonts w:cs="Times New Roman"/>
                <w:b w:val="0"/>
                <w:sz w:val="22"/>
                <w:szCs w:val="22"/>
              </w:rPr>
              <w:t>N</w:t>
            </w:r>
          </w:p>
          <w:p w14:paraId="304C203B" w14:textId="77777777" w:rsidR="00F272C5" w:rsidRPr="009D5002" w:rsidRDefault="00F272C5" w:rsidP="00414F3A">
            <w:pPr>
              <w:spacing w:after="0" w:line="360" w:lineRule="auto"/>
              <w:rPr>
                <w:rFonts w:cs="Times New Roman"/>
                <w:b w:val="0"/>
                <w:sz w:val="22"/>
                <w:szCs w:val="22"/>
              </w:rPr>
            </w:pPr>
            <w:r w:rsidRPr="009D5002">
              <w:rPr>
                <w:rFonts w:cs="Times New Roman"/>
                <w:b w:val="0"/>
                <w:sz w:val="22"/>
                <w:szCs w:val="22"/>
              </w:rPr>
              <w:t>Rate, per year</w:t>
            </w:r>
          </w:p>
          <w:p w14:paraId="737D3F5D" w14:textId="77777777" w:rsidR="00F272C5" w:rsidRPr="009D5002" w:rsidRDefault="00F272C5" w:rsidP="00414F3A">
            <w:pPr>
              <w:spacing w:after="0" w:line="360" w:lineRule="auto"/>
              <w:ind w:left="326"/>
              <w:rPr>
                <w:rFonts w:cs="Times New Roman"/>
                <w:b w:val="0"/>
                <w:i/>
                <w:sz w:val="22"/>
                <w:szCs w:val="22"/>
              </w:rPr>
            </w:pPr>
            <w:r w:rsidRPr="009D5002">
              <w:rPr>
                <w:rFonts w:cs="Times New Roman"/>
                <w:b w:val="0"/>
                <w:i/>
                <w:sz w:val="22"/>
                <w:szCs w:val="22"/>
              </w:rPr>
              <w:t>Rate ratio versus FF MDI (95% CI)</w:t>
            </w:r>
          </w:p>
          <w:p w14:paraId="26F4BB03" w14:textId="76A2173A" w:rsidR="00F272C5" w:rsidRPr="009D5002" w:rsidRDefault="007E33DB" w:rsidP="00414F3A">
            <w:pPr>
              <w:spacing w:after="0" w:line="360" w:lineRule="auto"/>
              <w:ind w:left="326"/>
              <w:rPr>
                <w:rFonts w:cs="Times New Roman"/>
                <w:sz w:val="22"/>
                <w:szCs w:val="22"/>
              </w:rPr>
            </w:pPr>
            <w:r w:rsidRPr="009D5002">
              <w:rPr>
                <w:rFonts w:cs="Times New Roman"/>
                <w:b w:val="0"/>
                <w:i/>
                <w:sz w:val="22"/>
                <w:szCs w:val="22"/>
              </w:rPr>
              <w:t>p</w:t>
            </w:r>
            <w:r w:rsidR="00F272C5" w:rsidRPr="009D5002">
              <w:rPr>
                <w:rFonts w:cs="Times New Roman"/>
                <w:b w:val="0"/>
                <w:i/>
                <w:sz w:val="22"/>
                <w:szCs w:val="22"/>
              </w:rPr>
              <w:t>-value</w:t>
            </w:r>
          </w:p>
        </w:tc>
        <w:tc>
          <w:tcPr>
            <w:tcW w:w="1842" w:type="dxa"/>
            <w:tcBorders>
              <w:bottom w:val="single" w:sz="12" w:space="0" w:color="auto"/>
            </w:tcBorders>
            <w:vAlign w:val="center"/>
          </w:tcPr>
          <w:p w14:paraId="15B72F0B"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137</w:t>
            </w:r>
          </w:p>
          <w:p w14:paraId="2F948161"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0.73</w:t>
            </w:r>
          </w:p>
          <w:p w14:paraId="6F342B8B"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0.61 (0.38, 0.95)</w:t>
            </w:r>
          </w:p>
          <w:p w14:paraId="3F777460"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0.030</w:t>
            </w:r>
          </w:p>
        </w:tc>
        <w:tc>
          <w:tcPr>
            <w:tcW w:w="1843" w:type="dxa"/>
            <w:tcBorders>
              <w:bottom w:val="single" w:sz="12" w:space="0" w:color="auto"/>
            </w:tcBorders>
            <w:vAlign w:val="center"/>
          </w:tcPr>
          <w:p w14:paraId="64B84A89"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158</w:t>
            </w:r>
          </w:p>
          <w:p w14:paraId="0D104470"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0.86</w:t>
            </w:r>
          </w:p>
          <w:p w14:paraId="441E27EC"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0.71 (0.47, 1.08)</w:t>
            </w:r>
          </w:p>
          <w:p w14:paraId="53EE5B28"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0.107</w:t>
            </w:r>
          </w:p>
        </w:tc>
        <w:tc>
          <w:tcPr>
            <w:tcW w:w="1701" w:type="dxa"/>
            <w:tcBorders>
              <w:bottom w:val="single" w:sz="12" w:space="0" w:color="auto"/>
            </w:tcBorders>
            <w:vAlign w:val="center"/>
          </w:tcPr>
          <w:p w14:paraId="7A2BDFE0"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142</w:t>
            </w:r>
          </w:p>
          <w:p w14:paraId="0038861F" w14:textId="77777777" w:rsidR="00F272C5" w:rsidRPr="009D5002" w:rsidRDefault="00F272C5" w:rsidP="00414F3A">
            <w:pPr>
              <w:spacing w:after="0" w:line="360" w:lineRule="auto"/>
              <w:jc w:val="center"/>
              <w:rPr>
                <w:rFonts w:cs="Times New Roman"/>
                <w:b w:val="0"/>
                <w:sz w:val="22"/>
                <w:szCs w:val="22"/>
              </w:rPr>
            </w:pPr>
            <w:r w:rsidRPr="009D5002">
              <w:rPr>
                <w:rFonts w:cs="Times New Roman"/>
                <w:b w:val="0"/>
                <w:sz w:val="22"/>
                <w:szCs w:val="22"/>
              </w:rPr>
              <w:t>1.21</w:t>
            </w:r>
          </w:p>
          <w:p w14:paraId="634E63EC" w14:textId="6F52D1DB" w:rsidR="00F272C5" w:rsidRPr="00240A8F" w:rsidRDefault="00414F3A" w:rsidP="00414F3A">
            <w:pPr>
              <w:spacing w:after="0" w:line="360" w:lineRule="auto"/>
              <w:jc w:val="center"/>
              <w:rPr>
                <w:rFonts w:cs="Times New Roman"/>
                <w:b w:val="0"/>
                <w:sz w:val="22"/>
                <w:szCs w:val="22"/>
              </w:rPr>
            </w:pPr>
            <w:r w:rsidRPr="009D5002">
              <w:rPr>
                <w:rFonts w:cs="Times New Roman"/>
                <w:b w:val="0"/>
                <w:sz w:val="22"/>
                <w:szCs w:val="22"/>
              </w:rPr>
              <w:t>–</w:t>
            </w:r>
            <w:r w:rsidRPr="009D5002">
              <w:rPr>
                <w:rFonts w:cs="Times New Roman"/>
                <w:b w:val="0"/>
                <w:sz w:val="22"/>
                <w:szCs w:val="22"/>
              </w:rPr>
              <w:br/>
              <w:t>–</w:t>
            </w:r>
          </w:p>
        </w:tc>
      </w:tr>
    </w:tbl>
    <w:p w14:paraId="4CAC0A11" w14:textId="523F40B7" w:rsidR="00F272C5" w:rsidRPr="00240A8F" w:rsidRDefault="00F272C5" w:rsidP="00F272C5">
      <w:pPr>
        <w:spacing w:before="240" w:after="0" w:line="360" w:lineRule="auto"/>
        <w:rPr>
          <w:rFonts w:cs="Times New Roman"/>
          <w:b w:val="0"/>
          <w:sz w:val="20"/>
        </w:rPr>
      </w:pPr>
      <w:r w:rsidRPr="00240A8F">
        <w:rPr>
          <w:rFonts w:cs="Times New Roman"/>
          <w:b w:val="0"/>
          <w:sz w:val="20"/>
        </w:rPr>
        <w:t>BFF: budesonide/formoterol fumarate dihydrate; CI: confidence interval;</w:t>
      </w:r>
      <w:r w:rsidR="009E1A68" w:rsidRPr="00240A8F">
        <w:rPr>
          <w:rFonts w:cs="Times New Roman"/>
          <w:b w:val="0"/>
          <w:sz w:val="20"/>
        </w:rPr>
        <w:t xml:space="preserve"> COPD, chronic obstructive pulmonary disease; </w:t>
      </w:r>
      <w:r w:rsidRPr="00240A8F">
        <w:rPr>
          <w:rFonts w:cs="Times New Roman"/>
          <w:b w:val="0"/>
          <w:sz w:val="20"/>
        </w:rPr>
        <w:t>FF: formoterol fumarate dihydrate; ICS, inhaled corticosteroid; MDI: metered dose inhaler.</w:t>
      </w:r>
    </w:p>
    <w:p w14:paraId="0B23AE60" w14:textId="77777777" w:rsidR="00C54F32" w:rsidRPr="00240A8F" w:rsidRDefault="007229CD" w:rsidP="007924B4">
      <w:pPr>
        <w:spacing w:after="160" w:line="360" w:lineRule="auto"/>
        <w:rPr>
          <w:rFonts w:cs="Times New Roman"/>
          <w:b w:val="0"/>
          <w:sz w:val="20"/>
        </w:rPr>
      </w:pPr>
      <w:r w:rsidRPr="00240A8F">
        <w:rPr>
          <w:rFonts w:cs="Times New Roman"/>
          <w:b w:val="0"/>
          <w:sz w:val="22"/>
          <w:szCs w:val="22"/>
        </w:rPr>
        <w:br w:type="page"/>
      </w:r>
    </w:p>
    <w:p w14:paraId="72E55783" w14:textId="77777777" w:rsidR="007229CD" w:rsidRPr="00240A8F" w:rsidRDefault="007229CD" w:rsidP="00C17DD4">
      <w:pPr>
        <w:spacing w:after="0" w:line="360" w:lineRule="auto"/>
        <w:rPr>
          <w:rFonts w:cs="Times New Roman"/>
          <w:b w:val="0"/>
          <w:sz w:val="22"/>
          <w:szCs w:val="22"/>
        </w:rPr>
      </w:pPr>
    </w:p>
    <w:p w14:paraId="635B3719" w14:textId="77777777" w:rsidR="00561665" w:rsidRPr="00240A8F" w:rsidRDefault="00186ECC" w:rsidP="007229CD">
      <w:pPr>
        <w:spacing w:after="160" w:line="259" w:lineRule="auto"/>
        <w:rPr>
          <w:rFonts w:cs="Times New Roman"/>
          <w:b w:val="0"/>
          <w:szCs w:val="24"/>
        </w:rPr>
      </w:pPr>
      <w:r w:rsidRPr="00240A8F">
        <w:rPr>
          <w:rFonts w:cs="Times New Roman"/>
          <w:noProof/>
          <w:lang w:eastAsia="en-GB"/>
        </w:rPr>
        <w:drawing>
          <wp:inline distT="0" distB="0" distL="0" distR="0" wp14:anchorId="7F4526F4" wp14:editId="1AF4648A">
            <wp:extent cx="5759450" cy="2597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2597150"/>
                    </a:xfrm>
                    <a:prstGeom prst="rect">
                      <a:avLst/>
                    </a:prstGeom>
                  </pic:spPr>
                </pic:pic>
              </a:graphicData>
            </a:graphic>
          </wp:inline>
        </w:drawing>
      </w:r>
    </w:p>
    <w:p w14:paraId="3D5D9352" w14:textId="77777777" w:rsidR="00186ECC" w:rsidRPr="00240A8F" w:rsidRDefault="00F42B78" w:rsidP="00561665">
      <w:pPr>
        <w:spacing w:line="480" w:lineRule="auto"/>
        <w:rPr>
          <w:rFonts w:cs="Times New Roman"/>
          <w:b w:val="0"/>
          <w:szCs w:val="24"/>
        </w:rPr>
      </w:pPr>
      <w:r w:rsidRPr="00240A8F">
        <w:rPr>
          <w:rFonts w:cs="Times New Roman"/>
          <w:szCs w:val="24"/>
        </w:rPr>
        <w:t>FIGURE</w:t>
      </w:r>
      <w:r w:rsidR="00561665" w:rsidRPr="00240A8F">
        <w:rPr>
          <w:rFonts w:cs="Times New Roman"/>
          <w:szCs w:val="24"/>
        </w:rPr>
        <w:t xml:space="preserve"> E1 </w:t>
      </w:r>
      <w:r w:rsidR="00561665" w:rsidRPr="00240A8F">
        <w:rPr>
          <w:rFonts w:cs="Times New Roman"/>
          <w:b w:val="0"/>
          <w:szCs w:val="24"/>
        </w:rPr>
        <w:t xml:space="preserve">Study design. </w:t>
      </w:r>
    </w:p>
    <w:p w14:paraId="49E99771" w14:textId="77777777" w:rsidR="00186ECC" w:rsidRPr="00240A8F" w:rsidRDefault="00302BC1" w:rsidP="00561665">
      <w:pPr>
        <w:spacing w:line="480" w:lineRule="auto"/>
        <w:rPr>
          <w:rFonts w:cs="Times New Roman"/>
          <w:b w:val="0"/>
          <w:szCs w:val="24"/>
        </w:rPr>
      </w:pPr>
      <w:r w:rsidRPr="00240A8F">
        <w:rPr>
          <w:rFonts w:cs="Times New Roman"/>
          <w:b w:val="0"/>
          <w:szCs w:val="24"/>
          <w:vertAlign w:val="superscript"/>
        </w:rPr>
        <w:t>#</w:t>
      </w:r>
      <w:r w:rsidR="00077BB8" w:rsidRPr="00240A8F">
        <w:rPr>
          <w:rFonts w:cs="Times New Roman"/>
          <w:b w:val="0"/>
          <w:szCs w:val="24"/>
        </w:rPr>
        <w:t>Screening period</w:t>
      </w:r>
      <w:r w:rsidRPr="00240A8F">
        <w:rPr>
          <w:rFonts w:cs="Times New Roman"/>
          <w:b w:val="0"/>
          <w:szCs w:val="24"/>
        </w:rPr>
        <w:t>:</w:t>
      </w:r>
      <w:r w:rsidR="00B11842" w:rsidRPr="00240A8F">
        <w:rPr>
          <w:rFonts w:cs="Times New Roman"/>
          <w:b w:val="0"/>
          <w:szCs w:val="24"/>
        </w:rPr>
        <w:t xml:space="preserve"> </w:t>
      </w:r>
      <w:r w:rsidR="00561665" w:rsidRPr="00240A8F">
        <w:rPr>
          <w:rFonts w:cs="Times New Roman"/>
          <w:b w:val="0"/>
          <w:szCs w:val="24"/>
        </w:rPr>
        <w:t>1</w:t>
      </w:r>
      <w:r w:rsidR="005B757B" w:rsidRPr="00240A8F">
        <w:rPr>
          <w:rFonts w:cs="Times New Roman"/>
          <w:b w:val="0"/>
          <w:szCs w:val="24"/>
        </w:rPr>
        <w:t>–</w:t>
      </w:r>
      <w:r w:rsidR="00561665" w:rsidRPr="00240A8F">
        <w:rPr>
          <w:rFonts w:cs="Times New Roman"/>
          <w:b w:val="0"/>
          <w:szCs w:val="24"/>
        </w:rPr>
        <w:t xml:space="preserve">4 weeks (may be extended to 10 weeks if </w:t>
      </w:r>
      <w:r w:rsidR="00D2344E" w:rsidRPr="00240A8F">
        <w:rPr>
          <w:rFonts w:cs="Times New Roman"/>
          <w:b w:val="0"/>
          <w:szCs w:val="24"/>
        </w:rPr>
        <w:t xml:space="preserve">the </w:t>
      </w:r>
      <w:r w:rsidR="00561665" w:rsidRPr="00240A8F">
        <w:rPr>
          <w:rFonts w:cs="Times New Roman"/>
          <w:b w:val="0"/>
          <w:szCs w:val="24"/>
        </w:rPr>
        <w:t xml:space="preserve">patient experiences an exacerbation during screening). </w:t>
      </w:r>
    </w:p>
    <w:p w14:paraId="21639E0C" w14:textId="7E22AE65" w:rsidR="00186ECC" w:rsidRPr="00240A8F" w:rsidRDefault="00302BC1" w:rsidP="00561665">
      <w:pPr>
        <w:spacing w:line="480" w:lineRule="auto"/>
        <w:rPr>
          <w:rFonts w:cs="Times New Roman"/>
          <w:b w:val="0"/>
          <w:szCs w:val="24"/>
        </w:rPr>
      </w:pPr>
      <w:r w:rsidRPr="00240A8F">
        <w:rPr>
          <w:rFonts w:cs="Times New Roman"/>
          <w:b w:val="0"/>
          <w:szCs w:val="24"/>
          <w:vertAlign w:val="superscript"/>
        </w:rPr>
        <w:t>¶</w:t>
      </w:r>
      <w:r w:rsidR="00561665" w:rsidRPr="00240A8F">
        <w:rPr>
          <w:rFonts w:cs="Times New Roman"/>
          <w:b w:val="0"/>
          <w:szCs w:val="24"/>
        </w:rPr>
        <w:t xml:space="preserve">Follow-up telephone call. For </w:t>
      </w:r>
      <w:r w:rsidR="008F613D">
        <w:rPr>
          <w:rFonts w:cs="Times New Roman"/>
          <w:b w:val="0"/>
          <w:szCs w:val="24"/>
        </w:rPr>
        <w:t>patien</w:t>
      </w:r>
      <w:r w:rsidR="00561665" w:rsidRPr="00240A8F">
        <w:rPr>
          <w:rFonts w:cs="Times New Roman"/>
          <w:b w:val="0"/>
          <w:szCs w:val="24"/>
        </w:rPr>
        <w:t xml:space="preserve">ts who discontinued study drug and did not complete at least </w:t>
      </w:r>
      <w:r w:rsidR="005B757B" w:rsidRPr="00240A8F">
        <w:rPr>
          <w:rFonts w:cs="Times New Roman"/>
          <w:b w:val="0"/>
          <w:szCs w:val="24"/>
        </w:rPr>
        <w:t>one</w:t>
      </w:r>
      <w:r w:rsidR="00561665" w:rsidRPr="00240A8F">
        <w:rPr>
          <w:rFonts w:cs="Times New Roman"/>
          <w:b w:val="0"/>
          <w:szCs w:val="24"/>
        </w:rPr>
        <w:t xml:space="preserve"> post-treatment data collection, a follow-up telephone call was required at least 14 days after </w:t>
      </w:r>
      <w:r w:rsidR="00C17DD4" w:rsidRPr="00240A8F">
        <w:rPr>
          <w:rFonts w:cs="Times New Roman"/>
          <w:b w:val="0"/>
          <w:szCs w:val="24"/>
        </w:rPr>
        <w:t xml:space="preserve">the </w:t>
      </w:r>
      <w:r w:rsidR="00561665" w:rsidRPr="00240A8F">
        <w:rPr>
          <w:rFonts w:cs="Times New Roman"/>
          <w:b w:val="0"/>
          <w:szCs w:val="24"/>
        </w:rPr>
        <w:t xml:space="preserve">last study drug dose. </w:t>
      </w:r>
    </w:p>
    <w:p w14:paraId="05B2FD97" w14:textId="77777777" w:rsidR="00561665" w:rsidRPr="00240A8F" w:rsidRDefault="00EE4B62" w:rsidP="00561665">
      <w:pPr>
        <w:spacing w:line="480" w:lineRule="auto"/>
        <w:rPr>
          <w:rFonts w:cs="Times New Roman"/>
          <w:b w:val="0"/>
          <w:szCs w:val="24"/>
        </w:rPr>
      </w:pPr>
      <w:r w:rsidRPr="00240A8F">
        <w:rPr>
          <w:rFonts w:cs="Times New Roman"/>
          <w:b w:val="0"/>
          <w:szCs w:val="24"/>
        </w:rPr>
        <w:t>B</w:t>
      </w:r>
      <w:r w:rsidR="003D4799" w:rsidRPr="00240A8F">
        <w:rPr>
          <w:rFonts w:cs="Times New Roman"/>
          <w:b w:val="0"/>
          <w:szCs w:val="24"/>
        </w:rPr>
        <w:t>I</w:t>
      </w:r>
      <w:r w:rsidRPr="00240A8F">
        <w:rPr>
          <w:rFonts w:cs="Times New Roman"/>
          <w:b w:val="0"/>
          <w:szCs w:val="24"/>
        </w:rPr>
        <w:t>D</w:t>
      </w:r>
      <w:r w:rsidR="00302BC1" w:rsidRPr="00240A8F">
        <w:rPr>
          <w:rFonts w:cs="Times New Roman"/>
          <w:b w:val="0"/>
          <w:szCs w:val="24"/>
        </w:rPr>
        <w:t xml:space="preserve">: </w:t>
      </w:r>
      <w:r w:rsidR="003D4799" w:rsidRPr="00240A8F">
        <w:rPr>
          <w:rFonts w:cs="Times New Roman"/>
          <w:b w:val="0"/>
          <w:szCs w:val="24"/>
        </w:rPr>
        <w:t xml:space="preserve">twice </w:t>
      </w:r>
      <w:r w:rsidR="00561665" w:rsidRPr="00240A8F">
        <w:rPr>
          <w:rFonts w:cs="Times New Roman"/>
          <w:b w:val="0"/>
          <w:szCs w:val="24"/>
        </w:rPr>
        <w:t>daily; BFF</w:t>
      </w:r>
      <w:r w:rsidR="00302BC1" w:rsidRPr="00240A8F">
        <w:rPr>
          <w:rFonts w:cs="Times New Roman"/>
          <w:b w:val="0"/>
          <w:szCs w:val="24"/>
        </w:rPr>
        <w:t>:</w:t>
      </w:r>
      <w:r w:rsidR="00B11842" w:rsidRPr="00240A8F">
        <w:rPr>
          <w:rFonts w:cs="Times New Roman"/>
          <w:b w:val="0"/>
          <w:szCs w:val="24"/>
        </w:rPr>
        <w:t xml:space="preserve"> </w:t>
      </w:r>
      <w:r w:rsidR="00561665" w:rsidRPr="00240A8F">
        <w:rPr>
          <w:rFonts w:cs="Times New Roman"/>
          <w:b w:val="0"/>
          <w:szCs w:val="24"/>
        </w:rPr>
        <w:t>bud</w:t>
      </w:r>
      <w:r w:rsidR="0085075E" w:rsidRPr="00240A8F">
        <w:rPr>
          <w:rFonts w:cs="Times New Roman"/>
          <w:b w:val="0"/>
          <w:szCs w:val="24"/>
        </w:rPr>
        <w:t>esonide/formoterol fumarate</w:t>
      </w:r>
      <w:r w:rsidR="00911B73" w:rsidRPr="00240A8F">
        <w:rPr>
          <w:rFonts w:cs="Times New Roman"/>
          <w:b w:val="0"/>
          <w:szCs w:val="24"/>
        </w:rPr>
        <w:t xml:space="preserve"> dihydrate</w:t>
      </w:r>
      <w:r w:rsidR="0085075E" w:rsidRPr="00240A8F">
        <w:rPr>
          <w:rFonts w:cs="Times New Roman"/>
          <w:b w:val="0"/>
          <w:szCs w:val="24"/>
        </w:rPr>
        <w:t>; FF</w:t>
      </w:r>
      <w:r w:rsidR="00302BC1" w:rsidRPr="00240A8F">
        <w:rPr>
          <w:rFonts w:cs="Times New Roman"/>
          <w:b w:val="0"/>
          <w:szCs w:val="24"/>
        </w:rPr>
        <w:t>:</w:t>
      </w:r>
      <w:r w:rsidR="00B11842" w:rsidRPr="00240A8F">
        <w:rPr>
          <w:rFonts w:cs="Times New Roman"/>
          <w:b w:val="0"/>
          <w:szCs w:val="24"/>
        </w:rPr>
        <w:t xml:space="preserve"> </w:t>
      </w:r>
      <w:r w:rsidR="0085075E" w:rsidRPr="00240A8F">
        <w:rPr>
          <w:rFonts w:cs="Times New Roman"/>
          <w:b w:val="0"/>
          <w:szCs w:val="24"/>
        </w:rPr>
        <w:t>formoterol fumarate</w:t>
      </w:r>
      <w:r w:rsidR="00382B94" w:rsidRPr="00240A8F">
        <w:rPr>
          <w:rFonts w:cs="Times New Roman"/>
          <w:b w:val="0"/>
          <w:szCs w:val="24"/>
        </w:rPr>
        <w:t xml:space="preserve"> dihydrate</w:t>
      </w:r>
      <w:r w:rsidR="0085075E" w:rsidRPr="00240A8F">
        <w:rPr>
          <w:rFonts w:cs="Times New Roman"/>
          <w:b w:val="0"/>
          <w:szCs w:val="24"/>
        </w:rPr>
        <w:t>; MDI</w:t>
      </w:r>
      <w:r w:rsidR="00302BC1" w:rsidRPr="00240A8F">
        <w:rPr>
          <w:rFonts w:cs="Times New Roman"/>
          <w:b w:val="0"/>
          <w:szCs w:val="24"/>
        </w:rPr>
        <w:t>:</w:t>
      </w:r>
      <w:r w:rsidR="00B11842" w:rsidRPr="00240A8F">
        <w:rPr>
          <w:rFonts w:cs="Times New Roman"/>
          <w:b w:val="0"/>
          <w:szCs w:val="24"/>
        </w:rPr>
        <w:t xml:space="preserve"> </w:t>
      </w:r>
      <w:r w:rsidR="00561665" w:rsidRPr="00240A8F">
        <w:rPr>
          <w:rFonts w:cs="Times New Roman"/>
          <w:b w:val="0"/>
          <w:szCs w:val="24"/>
        </w:rPr>
        <w:t>metered dose inhaler.</w:t>
      </w:r>
    </w:p>
    <w:p w14:paraId="3EB74B6B" w14:textId="77777777" w:rsidR="00302BC1" w:rsidRPr="00240A8F" w:rsidRDefault="00302BC1" w:rsidP="00561665">
      <w:pPr>
        <w:spacing w:line="480" w:lineRule="auto"/>
        <w:rPr>
          <w:rFonts w:cs="Times New Roman"/>
          <w:b w:val="0"/>
          <w:szCs w:val="24"/>
        </w:rPr>
      </w:pPr>
    </w:p>
    <w:p w14:paraId="18D51F3D" w14:textId="77777777" w:rsidR="007229CD" w:rsidRPr="00240A8F" w:rsidRDefault="007229CD" w:rsidP="007229CD">
      <w:pPr>
        <w:spacing w:after="160" w:line="259" w:lineRule="auto"/>
        <w:rPr>
          <w:rFonts w:cs="Times New Roman"/>
          <w:b w:val="0"/>
          <w:sz w:val="22"/>
          <w:szCs w:val="22"/>
        </w:rPr>
      </w:pPr>
      <w:r w:rsidRPr="00240A8F">
        <w:rPr>
          <w:rFonts w:cs="Times New Roman"/>
          <w:b w:val="0"/>
          <w:sz w:val="22"/>
          <w:szCs w:val="22"/>
        </w:rPr>
        <w:br w:type="page"/>
      </w:r>
    </w:p>
    <w:p w14:paraId="431C390F" w14:textId="77777777" w:rsidR="007229CD" w:rsidRPr="00240A8F" w:rsidRDefault="00186ECC" w:rsidP="007229CD">
      <w:pPr>
        <w:spacing w:after="160" w:line="259" w:lineRule="auto"/>
        <w:rPr>
          <w:rFonts w:cs="Times New Roman"/>
          <w:b w:val="0"/>
          <w:szCs w:val="24"/>
        </w:rPr>
      </w:pPr>
      <w:r w:rsidRPr="00240A8F">
        <w:rPr>
          <w:rFonts w:cs="Times New Roman"/>
          <w:noProof/>
          <w:lang w:eastAsia="en-GB"/>
        </w:rPr>
        <w:lastRenderedPageBreak/>
        <w:drawing>
          <wp:inline distT="0" distB="0" distL="0" distR="0" wp14:anchorId="2CC1CC63" wp14:editId="21CACC08">
            <wp:extent cx="5759450" cy="31534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3153410"/>
                    </a:xfrm>
                    <a:prstGeom prst="rect">
                      <a:avLst/>
                    </a:prstGeom>
                  </pic:spPr>
                </pic:pic>
              </a:graphicData>
            </a:graphic>
          </wp:inline>
        </w:drawing>
      </w:r>
    </w:p>
    <w:p w14:paraId="2CC5BC62" w14:textId="77777777" w:rsidR="00561665" w:rsidRPr="00240A8F" w:rsidRDefault="001A7881" w:rsidP="007229CD">
      <w:pPr>
        <w:spacing w:after="160" w:line="259" w:lineRule="auto"/>
        <w:rPr>
          <w:rFonts w:cs="Times New Roman"/>
          <w:b w:val="0"/>
          <w:szCs w:val="24"/>
        </w:rPr>
      </w:pPr>
      <w:r w:rsidRPr="00240A8F">
        <w:rPr>
          <w:rFonts w:cs="Times New Roman"/>
          <w:szCs w:val="24"/>
        </w:rPr>
        <w:t>FIGURE</w:t>
      </w:r>
      <w:r w:rsidR="00561665" w:rsidRPr="00240A8F">
        <w:rPr>
          <w:rFonts w:cs="Times New Roman"/>
          <w:szCs w:val="24"/>
        </w:rPr>
        <w:t xml:space="preserve"> E2 </w:t>
      </w:r>
      <w:r w:rsidR="00561665" w:rsidRPr="00240A8F">
        <w:rPr>
          <w:rFonts w:cs="Times New Roman"/>
          <w:b w:val="0"/>
          <w:szCs w:val="24"/>
        </w:rPr>
        <w:t>Baseline eosinophil distribution</w:t>
      </w:r>
      <w:r w:rsidR="003D4799" w:rsidRPr="00240A8F">
        <w:rPr>
          <w:rFonts w:cs="Times New Roman"/>
          <w:b w:val="0"/>
          <w:szCs w:val="24"/>
        </w:rPr>
        <w:t>.</w:t>
      </w:r>
    </w:p>
    <w:p w14:paraId="38D8BD77" w14:textId="77777777" w:rsidR="00730125" w:rsidRPr="00240A8F" w:rsidRDefault="007229CD" w:rsidP="002D3B85">
      <w:pPr>
        <w:spacing w:after="160" w:line="480" w:lineRule="auto"/>
        <w:rPr>
          <w:rFonts w:cs="Times New Roman"/>
          <w:b w:val="0"/>
          <w:szCs w:val="24"/>
        </w:rPr>
      </w:pPr>
      <w:r w:rsidRPr="00240A8F">
        <w:rPr>
          <w:rFonts w:cs="Times New Roman"/>
          <w:b w:val="0"/>
          <w:szCs w:val="24"/>
        </w:rPr>
        <w:br w:type="page"/>
      </w:r>
    </w:p>
    <w:p w14:paraId="6DE94B1B" w14:textId="77777777" w:rsidR="00F7660C" w:rsidRPr="00240A8F" w:rsidRDefault="00FA3733" w:rsidP="00D23F38">
      <w:pPr>
        <w:spacing w:after="160" w:line="259" w:lineRule="auto"/>
        <w:rPr>
          <w:rFonts w:cs="Times New Roman"/>
          <w:b w:val="0"/>
          <w:szCs w:val="24"/>
        </w:rPr>
      </w:pPr>
      <w:r w:rsidRPr="00240A8F">
        <w:rPr>
          <w:rFonts w:cs="Times New Roman"/>
          <w:noProof/>
          <w:lang w:eastAsia="en-GB"/>
        </w:rPr>
        <w:lastRenderedPageBreak/>
        <w:drawing>
          <wp:inline distT="0" distB="0" distL="0" distR="0" wp14:anchorId="7C020F1E" wp14:editId="760AE549">
            <wp:extent cx="5759450" cy="56953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5695315"/>
                    </a:xfrm>
                    <a:prstGeom prst="rect">
                      <a:avLst/>
                    </a:prstGeom>
                  </pic:spPr>
                </pic:pic>
              </a:graphicData>
            </a:graphic>
          </wp:inline>
        </w:drawing>
      </w:r>
    </w:p>
    <w:p w14:paraId="4322E1B2" w14:textId="77777777" w:rsidR="00136638" w:rsidRDefault="001A7881" w:rsidP="0086782B">
      <w:pPr>
        <w:spacing w:after="0" w:line="480" w:lineRule="auto"/>
        <w:rPr>
          <w:rFonts w:cs="Times New Roman"/>
          <w:b w:val="0"/>
          <w:szCs w:val="24"/>
        </w:rPr>
      </w:pPr>
      <w:r w:rsidRPr="00240A8F">
        <w:rPr>
          <w:rFonts w:cs="Times New Roman"/>
          <w:szCs w:val="24"/>
        </w:rPr>
        <w:t>FIGURE</w:t>
      </w:r>
      <w:r w:rsidR="00F7660C" w:rsidRPr="00240A8F">
        <w:rPr>
          <w:rFonts w:cs="Times New Roman"/>
          <w:szCs w:val="24"/>
        </w:rPr>
        <w:t xml:space="preserve"> E</w:t>
      </w:r>
      <w:r w:rsidR="00A80CD9" w:rsidRPr="00240A8F">
        <w:rPr>
          <w:rFonts w:cs="Times New Roman"/>
          <w:szCs w:val="24"/>
        </w:rPr>
        <w:t>3</w:t>
      </w:r>
      <w:r w:rsidR="00F7660C" w:rsidRPr="00240A8F">
        <w:rPr>
          <w:rFonts w:cs="Times New Roman"/>
          <w:szCs w:val="24"/>
        </w:rPr>
        <w:t xml:space="preserve"> </w:t>
      </w:r>
      <w:r w:rsidR="00F7660C" w:rsidRPr="00240A8F">
        <w:rPr>
          <w:rFonts w:cs="Times New Roman"/>
          <w:b w:val="0"/>
          <w:szCs w:val="24"/>
        </w:rPr>
        <w:t>Change from baseline in morning pre-dose trough FEV</w:t>
      </w:r>
      <w:r w:rsidR="00F7660C" w:rsidRPr="00240A8F">
        <w:rPr>
          <w:rFonts w:cs="Times New Roman"/>
          <w:b w:val="0"/>
          <w:szCs w:val="24"/>
          <w:vertAlign w:val="subscript"/>
        </w:rPr>
        <w:t>1</w:t>
      </w:r>
      <w:r w:rsidR="00FA3733" w:rsidRPr="00240A8F">
        <w:rPr>
          <w:rFonts w:cs="Times New Roman"/>
          <w:b w:val="0"/>
          <w:szCs w:val="24"/>
        </w:rPr>
        <w:t xml:space="preserve"> at w</w:t>
      </w:r>
      <w:r w:rsidR="00302BC1" w:rsidRPr="00240A8F">
        <w:rPr>
          <w:rFonts w:cs="Times New Roman"/>
          <w:b w:val="0"/>
          <w:szCs w:val="24"/>
        </w:rPr>
        <w:t>eek 12 a</w:t>
      </w:r>
      <w:r w:rsidR="00F7660C" w:rsidRPr="00240A8F">
        <w:rPr>
          <w:rFonts w:cs="Times New Roman"/>
          <w:b w:val="0"/>
          <w:szCs w:val="24"/>
        </w:rPr>
        <w:t>) and rate of moderate/severe chronic obstructive pulmonary disease</w:t>
      </w:r>
      <w:r w:rsidR="00302BC1" w:rsidRPr="00240A8F">
        <w:rPr>
          <w:rFonts w:cs="Times New Roman"/>
          <w:b w:val="0"/>
          <w:szCs w:val="24"/>
        </w:rPr>
        <w:t xml:space="preserve"> exacerbations b</w:t>
      </w:r>
      <w:r w:rsidR="00F7660C" w:rsidRPr="00240A8F">
        <w:rPr>
          <w:rFonts w:cs="Times New Roman"/>
          <w:b w:val="0"/>
          <w:szCs w:val="24"/>
        </w:rPr>
        <w:t xml:space="preserve">) by </w:t>
      </w:r>
      <w:r w:rsidR="00D2344E" w:rsidRPr="00240A8F">
        <w:rPr>
          <w:rFonts w:cs="Times New Roman"/>
          <w:b w:val="0"/>
          <w:szCs w:val="24"/>
        </w:rPr>
        <w:t xml:space="preserve">the </w:t>
      </w:r>
      <w:r w:rsidR="00F7660C" w:rsidRPr="00240A8F">
        <w:rPr>
          <w:rFonts w:cs="Times New Roman"/>
          <w:b w:val="0"/>
          <w:szCs w:val="24"/>
        </w:rPr>
        <w:t xml:space="preserve">history of moderate/severe exacerbations in the previous 12 months (modified intent-to-treat population; efficacy </w:t>
      </w:r>
      <w:proofErr w:type="spellStart"/>
      <w:r w:rsidR="00F7660C" w:rsidRPr="00240A8F">
        <w:rPr>
          <w:rFonts w:cs="Times New Roman"/>
          <w:b w:val="0"/>
          <w:szCs w:val="24"/>
        </w:rPr>
        <w:t>estimand</w:t>
      </w:r>
      <w:proofErr w:type="spellEnd"/>
      <w:r w:rsidR="00F7660C" w:rsidRPr="00240A8F">
        <w:rPr>
          <w:rFonts w:cs="Times New Roman"/>
          <w:b w:val="0"/>
          <w:szCs w:val="24"/>
        </w:rPr>
        <w:t xml:space="preserve">). </w:t>
      </w:r>
    </w:p>
    <w:p w14:paraId="29F33296" w14:textId="2F96B177" w:rsidR="0086782B" w:rsidRPr="00240A8F" w:rsidRDefault="00F7660C" w:rsidP="0086782B">
      <w:pPr>
        <w:spacing w:after="0" w:line="480" w:lineRule="auto"/>
        <w:rPr>
          <w:rFonts w:eastAsia="TimesNewRoman" w:cs="Times New Roman"/>
          <w:b w:val="0"/>
          <w:color w:val="000000"/>
          <w:szCs w:val="24"/>
        </w:rPr>
      </w:pPr>
      <w:r w:rsidRPr="00240A8F">
        <w:rPr>
          <w:rFonts w:eastAsia="TimesNewRoman" w:cs="Times New Roman"/>
          <w:b w:val="0"/>
          <w:color w:val="000000"/>
          <w:szCs w:val="24"/>
        </w:rPr>
        <w:t>BFF</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Pr="00240A8F">
        <w:rPr>
          <w:rFonts w:eastAsia="TimesNewRoman" w:cs="Times New Roman"/>
          <w:b w:val="0"/>
          <w:color w:val="000000"/>
          <w:szCs w:val="24"/>
        </w:rPr>
        <w:t>budesonide/formoterol fumarate</w:t>
      </w:r>
      <w:r w:rsidR="00911B73" w:rsidRPr="00240A8F">
        <w:rPr>
          <w:rFonts w:eastAsia="TimesNewRoman" w:cs="Times New Roman"/>
          <w:b w:val="0"/>
          <w:color w:val="000000"/>
          <w:szCs w:val="24"/>
        </w:rPr>
        <w:t xml:space="preserve"> </w:t>
      </w:r>
      <w:r w:rsidR="00911B73" w:rsidRPr="00240A8F">
        <w:rPr>
          <w:rFonts w:cs="Times New Roman"/>
          <w:b w:val="0"/>
          <w:szCs w:val="24"/>
        </w:rPr>
        <w:t>dihydrate</w:t>
      </w:r>
      <w:r w:rsidRPr="00240A8F">
        <w:rPr>
          <w:rFonts w:eastAsia="TimesNewRoman" w:cs="Times New Roman"/>
          <w:b w:val="0"/>
          <w:color w:val="000000"/>
          <w:szCs w:val="24"/>
        </w:rPr>
        <w:t>; FEV</w:t>
      </w:r>
      <w:r w:rsidRPr="00240A8F">
        <w:rPr>
          <w:rFonts w:eastAsia="TimesNewRoman" w:cs="Times New Roman"/>
          <w:b w:val="0"/>
          <w:color w:val="000000"/>
          <w:szCs w:val="24"/>
          <w:vertAlign w:val="subscript"/>
        </w:rPr>
        <w:t>1</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Pr="00240A8F">
        <w:rPr>
          <w:rFonts w:cs="Times New Roman"/>
          <w:b w:val="0"/>
          <w:szCs w:val="24"/>
        </w:rPr>
        <w:t>forced expiratory volume in 1 second;</w:t>
      </w:r>
      <w:r w:rsidRPr="00240A8F">
        <w:rPr>
          <w:rFonts w:eastAsia="TimesNewRoman" w:cs="Times New Roman"/>
          <w:b w:val="0"/>
          <w:color w:val="000000"/>
          <w:szCs w:val="24"/>
        </w:rPr>
        <w:t xml:space="preserve"> FF</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Pr="00240A8F">
        <w:rPr>
          <w:rFonts w:eastAsia="TimesNewRoman" w:cs="Times New Roman"/>
          <w:b w:val="0"/>
          <w:color w:val="000000"/>
          <w:szCs w:val="24"/>
        </w:rPr>
        <w:t>formoterol fumarate</w:t>
      </w:r>
      <w:r w:rsidR="00382B94" w:rsidRPr="00240A8F">
        <w:rPr>
          <w:rFonts w:eastAsia="TimesNewRoman" w:cs="Times New Roman"/>
          <w:b w:val="0"/>
          <w:color w:val="000000"/>
          <w:szCs w:val="24"/>
        </w:rPr>
        <w:t xml:space="preserve"> </w:t>
      </w:r>
      <w:r w:rsidR="00382B94" w:rsidRPr="00240A8F">
        <w:rPr>
          <w:rFonts w:cs="Times New Roman"/>
          <w:b w:val="0"/>
          <w:szCs w:val="24"/>
        </w:rPr>
        <w:t>dihydrate;</w:t>
      </w:r>
      <w:r w:rsidRPr="00240A8F">
        <w:rPr>
          <w:rFonts w:eastAsia="TimesNewRoman" w:cs="Times New Roman"/>
          <w:b w:val="0"/>
          <w:color w:val="000000"/>
          <w:szCs w:val="24"/>
        </w:rPr>
        <w:t xml:space="preserve"> MDI</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Pr="00240A8F">
        <w:rPr>
          <w:rFonts w:eastAsia="TimesNewRoman" w:cs="Times New Roman"/>
          <w:b w:val="0"/>
          <w:color w:val="000000"/>
          <w:szCs w:val="24"/>
        </w:rPr>
        <w:t>metered dose inhaler</w:t>
      </w:r>
      <w:r w:rsidR="00084424" w:rsidRPr="00240A8F">
        <w:rPr>
          <w:rFonts w:eastAsia="TimesNewRoman" w:cs="Times New Roman"/>
          <w:b w:val="0"/>
          <w:color w:val="000000"/>
          <w:szCs w:val="24"/>
        </w:rPr>
        <w:t>; m/s exac</w:t>
      </w:r>
      <w:r w:rsidR="00CB6241" w:rsidRPr="00240A8F">
        <w:rPr>
          <w:rFonts w:eastAsia="TimesNewRoman" w:cs="Times New Roman"/>
          <w:b w:val="0"/>
          <w:color w:val="000000"/>
          <w:szCs w:val="24"/>
        </w:rPr>
        <w:t>.</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00084424" w:rsidRPr="00240A8F">
        <w:rPr>
          <w:rFonts w:cs="Times New Roman"/>
          <w:b w:val="0"/>
          <w:szCs w:val="24"/>
        </w:rPr>
        <w:t>moderate/severe exacerbation</w:t>
      </w:r>
      <w:r w:rsidRPr="00240A8F">
        <w:rPr>
          <w:rFonts w:eastAsia="TimesNewRoman" w:cs="Times New Roman"/>
          <w:b w:val="0"/>
          <w:color w:val="000000"/>
          <w:szCs w:val="24"/>
        </w:rPr>
        <w:t>.</w:t>
      </w:r>
    </w:p>
    <w:p w14:paraId="71E86DFE" w14:textId="77777777" w:rsidR="007F6E32" w:rsidRPr="00240A8F" w:rsidRDefault="007F6E32" w:rsidP="0086782B">
      <w:pPr>
        <w:spacing w:after="0" w:line="480" w:lineRule="auto"/>
        <w:rPr>
          <w:rFonts w:cs="Times New Roman"/>
          <w:b w:val="0"/>
          <w:szCs w:val="24"/>
        </w:rPr>
      </w:pPr>
      <w:r w:rsidRPr="00240A8F">
        <w:rPr>
          <w:rFonts w:cs="Times New Roman"/>
          <w:b w:val="0"/>
          <w:szCs w:val="24"/>
        </w:rPr>
        <w:br w:type="page"/>
      </w:r>
    </w:p>
    <w:p w14:paraId="7CD0B0BE" w14:textId="77777777" w:rsidR="007229CD" w:rsidRPr="00240A8F" w:rsidRDefault="00FA3733" w:rsidP="007229CD">
      <w:pPr>
        <w:spacing w:after="0" w:line="360" w:lineRule="auto"/>
        <w:rPr>
          <w:rFonts w:cs="Times New Roman"/>
          <w:b w:val="0"/>
          <w:szCs w:val="24"/>
        </w:rPr>
      </w:pPr>
      <w:r w:rsidRPr="00240A8F">
        <w:rPr>
          <w:rFonts w:cs="Times New Roman"/>
          <w:noProof/>
          <w:lang w:eastAsia="en-GB"/>
        </w:rPr>
        <w:lastRenderedPageBreak/>
        <w:drawing>
          <wp:inline distT="0" distB="0" distL="0" distR="0" wp14:anchorId="1B0B173C" wp14:editId="13871A10">
            <wp:extent cx="5759450" cy="28517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851785"/>
                    </a:xfrm>
                    <a:prstGeom prst="rect">
                      <a:avLst/>
                    </a:prstGeom>
                  </pic:spPr>
                </pic:pic>
              </a:graphicData>
            </a:graphic>
          </wp:inline>
        </w:drawing>
      </w:r>
    </w:p>
    <w:p w14:paraId="3450A726" w14:textId="77777777" w:rsidR="00136638" w:rsidRDefault="001A7881" w:rsidP="00136638">
      <w:pPr>
        <w:spacing w:after="0" w:line="480" w:lineRule="auto"/>
        <w:rPr>
          <w:rFonts w:cs="Times New Roman"/>
          <w:b w:val="0"/>
          <w:szCs w:val="24"/>
        </w:rPr>
      </w:pPr>
      <w:r w:rsidRPr="00240A8F">
        <w:rPr>
          <w:rFonts w:cs="Times New Roman"/>
          <w:szCs w:val="24"/>
        </w:rPr>
        <w:t>FIGURE</w:t>
      </w:r>
      <w:r w:rsidR="00561665" w:rsidRPr="00240A8F">
        <w:rPr>
          <w:rFonts w:cs="Times New Roman"/>
          <w:szCs w:val="24"/>
        </w:rPr>
        <w:t xml:space="preserve"> E</w:t>
      </w:r>
      <w:r w:rsidR="00A80CD9" w:rsidRPr="00240A8F">
        <w:rPr>
          <w:rFonts w:cs="Times New Roman"/>
          <w:szCs w:val="24"/>
        </w:rPr>
        <w:t>4</w:t>
      </w:r>
      <w:r w:rsidR="00CB6241" w:rsidRPr="00240A8F">
        <w:rPr>
          <w:rFonts w:cs="Times New Roman"/>
          <w:b w:val="0"/>
          <w:szCs w:val="24"/>
        </w:rPr>
        <w:t xml:space="preserve"> </w:t>
      </w:r>
      <w:r w:rsidR="00561665" w:rsidRPr="00240A8F">
        <w:rPr>
          <w:rFonts w:cs="Times New Roman"/>
          <w:b w:val="0"/>
          <w:szCs w:val="24"/>
        </w:rPr>
        <w:t>Change from baseline in morning pre-dose trough FEV</w:t>
      </w:r>
      <w:r w:rsidR="00561665" w:rsidRPr="00240A8F">
        <w:rPr>
          <w:rFonts w:cs="Times New Roman"/>
          <w:b w:val="0"/>
          <w:szCs w:val="24"/>
          <w:vertAlign w:val="subscript"/>
        </w:rPr>
        <w:t>1</w:t>
      </w:r>
      <w:r w:rsidR="00561665" w:rsidRPr="00240A8F">
        <w:rPr>
          <w:rFonts w:cs="Times New Roman"/>
          <w:b w:val="0"/>
          <w:szCs w:val="24"/>
        </w:rPr>
        <w:t xml:space="preserve"> over 24 weeks by eosinophil subgroups – Ex-US approach (</w:t>
      </w:r>
      <w:r w:rsidR="003D4799" w:rsidRPr="00240A8F">
        <w:rPr>
          <w:rFonts w:cs="Times New Roman"/>
          <w:b w:val="0"/>
          <w:szCs w:val="24"/>
        </w:rPr>
        <w:t>modified intent-to-treat</w:t>
      </w:r>
      <w:r w:rsidR="00561665" w:rsidRPr="00240A8F">
        <w:rPr>
          <w:rFonts w:cs="Times New Roman"/>
          <w:b w:val="0"/>
          <w:szCs w:val="24"/>
        </w:rPr>
        <w:t xml:space="preserve"> population; efficacy </w:t>
      </w:r>
      <w:proofErr w:type="spellStart"/>
      <w:r w:rsidR="00561665" w:rsidRPr="00240A8F">
        <w:rPr>
          <w:rFonts w:cs="Times New Roman"/>
          <w:b w:val="0"/>
          <w:szCs w:val="24"/>
        </w:rPr>
        <w:t>estimand</w:t>
      </w:r>
      <w:proofErr w:type="spellEnd"/>
      <w:r w:rsidR="00561665" w:rsidRPr="00240A8F">
        <w:rPr>
          <w:rFonts w:cs="Times New Roman"/>
          <w:b w:val="0"/>
          <w:szCs w:val="24"/>
        </w:rPr>
        <w:t>).</w:t>
      </w:r>
      <w:r w:rsidR="00F63B39" w:rsidRPr="00240A8F">
        <w:rPr>
          <w:rFonts w:cs="Times New Roman"/>
          <w:b w:val="0"/>
          <w:szCs w:val="24"/>
        </w:rPr>
        <w:t xml:space="preserve"> </w:t>
      </w:r>
    </w:p>
    <w:p w14:paraId="6D195272" w14:textId="527D847E" w:rsidR="00561665" w:rsidRPr="00240A8F" w:rsidRDefault="00C17DD4" w:rsidP="00136638">
      <w:pPr>
        <w:spacing w:after="0" w:line="480" w:lineRule="auto"/>
        <w:rPr>
          <w:rFonts w:cs="Times New Roman"/>
          <w:b w:val="0"/>
          <w:szCs w:val="24"/>
        </w:rPr>
      </w:pPr>
      <w:r w:rsidRPr="00240A8F">
        <w:rPr>
          <w:rFonts w:eastAsia="TimesNewRoman" w:cs="Times New Roman"/>
          <w:b w:val="0"/>
          <w:color w:val="000000"/>
          <w:szCs w:val="24"/>
        </w:rPr>
        <w:t>BFF</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00F63B39" w:rsidRPr="00240A8F">
        <w:rPr>
          <w:rFonts w:eastAsia="TimesNewRoman" w:cs="Times New Roman"/>
          <w:b w:val="0"/>
          <w:color w:val="000000"/>
          <w:szCs w:val="24"/>
        </w:rPr>
        <w:t xml:space="preserve">budesonide/formoterol fumarate </w:t>
      </w:r>
      <w:r w:rsidR="00EE769E" w:rsidRPr="00240A8F">
        <w:rPr>
          <w:rFonts w:cs="Times New Roman"/>
          <w:b w:val="0"/>
          <w:szCs w:val="24"/>
        </w:rPr>
        <w:t>dihydrate</w:t>
      </w:r>
      <w:r w:rsidR="00F63B39" w:rsidRPr="00240A8F">
        <w:rPr>
          <w:rFonts w:eastAsia="TimesNewRoman" w:cs="Times New Roman"/>
          <w:b w:val="0"/>
          <w:color w:val="000000"/>
          <w:szCs w:val="24"/>
        </w:rPr>
        <w:t>; FF</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00F63B39" w:rsidRPr="00240A8F">
        <w:rPr>
          <w:rFonts w:eastAsia="TimesNewRoman" w:cs="Times New Roman"/>
          <w:b w:val="0"/>
          <w:color w:val="000000"/>
          <w:szCs w:val="24"/>
        </w:rPr>
        <w:t>formoterol fumarate</w:t>
      </w:r>
      <w:r w:rsidR="00382B94" w:rsidRPr="00240A8F">
        <w:rPr>
          <w:rFonts w:eastAsia="TimesNewRoman" w:cs="Times New Roman"/>
          <w:b w:val="0"/>
          <w:color w:val="000000"/>
          <w:szCs w:val="24"/>
        </w:rPr>
        <w:t xml:space="preserve"> </w:t>
      </w:r>
      <w:r w:rsidR="00382B94" w:rsidRPr="00240A8F">
        <w:rPr>
          <w:rFonts w:cs="Times New Roman"/>
          <w:b w:val="0"/>
          <w:szCs w:val="24"/>
        </w:rPr>
        <w:t>dihydrate</w:t>
      </w:r>
      <w:r w:rsidRPr="00240A8F">
        <w:rPr>
          <w:rFonts w:eastAsia="TimesNewRoman" w:cs="Times New Roman"/>
          <w:b w:val="0"/>
          <w:color w:val="000000"/>
          <w:szCs w:val="24"/>
        </w:rPr>
        <w:t>; MDI</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00F63B39" w:rsidRPr="00240A8F">
        <w:rPr>
          <w:rFonts w:eastAsia="TimesNewRoman" w:cs="Times New Roman"/>
          <w:b w:val="0"/>
          <w:color w:val="000000"/>
          <w:szCs w:val="24"/>
        </w:rPr>
        <w:t>metered dose inhaler.</w:t>
      </w:r>
    </w:p>
    <w:p w14:paraId="7F7CCF21" w14:textId="77777777" w:rsidR="007229CD" w:rsidRPr="00240A8F" w:rsidRDefault="007229CD" w:rsidP="00136638">
      <w:pPr>
        <w:spacing w:after="0" w:line="480" w:lineRule="auto"/>
        <w:rPr>
          <w:rFonts w:cs="Times New Roman"/>
          <w:b w:val="0"/>
          <w:szCs w:val="24"/>
        </w:rPr>
      </w:pPr>
      <w:r w:rsidRPr="00240A8F">
        <w:rPr>
          <w:rFonts w:cs="Times New Roman"/>
          <w:b w:val="0"/>
          <w:szCs w:val="24"/>
        </w:rPr>
        <w:br w:type="page"/>
      </w:r>
    </w:p>
    <w:p w14:paraId="72231E98" w14:textId="77777777" w:rsidR="007229CD" w:rsidRPr="00240A8F" w:rsidRDefault="00FA3733" w:rsidP="007229CD">
      <w:pPr>
        <w:spacing w:after="160" w:line="259" w:lineRule="auto"/>
        <w:rPr>
          <w:rFonts w:cs="Times New Roman"/>
          <w:lang w:eastAsia="en-GB"/>
        </w:rPr>
      </w:pPr>
      <w:bookmarkStart w:id="0" w:name="_GoBack"/>
      <w:bookmarkEnd w:id="0"/>
      <w:r w:rsidRPr="00240A8F">
        <w:rPr>
          <w:rFonts w:cs="Times New Roman"/>
          <w:noProof/>
          <w:lang w:eastAsia="en-GB"/>
        </w:rPr>
        <w:lastRenderedPageBreak/>
        <w:drawing>
          <wp:inline distT="0" distB="0" distL="0" distR="0" wp14:anchorId="40FF934E" wp14:editId="27C2F9B8">
            <wp:extent cx="5759450" cy="28625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2862580"/>
                    </a:xfrm>
                    <a:prstGeom prst="rect">
                      <a:avLst/>
                    </a:prstGeom>
                  </pic:spPr>
                </pic:pic>
              </a:graphicData>
            </a:graphic>
          </wp:inline>
        </w:drawing>
      </w:r>
    </w:p>
    <w:p w14:paraId="309B7163" w14:textId="77777777" w:rsidR="00136638" w:rsidRDefault="001A7881" w:rsidP="00136638">
      <w:pPr>
        <w:spacing w:after="0" w:line="480" w:lineRule="auto"/>
        <w:rPr>
          <w:rFonts w:cs="Times New Roman"/>
          <w:b w:val="0"/>
          <w:szCs w:val="24"/>
        </w:rPr>
      </w:pPr>
      <w:r w:rsidRPr="00240A8F">
        <w:rPr>
          <w:rFonts w:cs="Times New Roman"/>
          <w:szCs w:val="24"/>
        </w:rPr>
        <w:t>FIGURE</w:t>
      </w:r>
      <w:r w:rsidR="00FF03F0" w:rsidRPr="00240A8F">
        <w:rPr>
          <w:rFonts w:cs="Times New Roman"/>
          <w:szCs w:val="24"/>
        </w:rPr>
        <w:t xml:space="preserve"> E</w:t>
      </w:r>
      <w:r w:rsidR="00A80CD9" w:rsidRPr="00240A8F">
        <w:rPr>
          <w:rFonts w:cs="Times New Roman"/>
          <w:szCs w:val="24"/>
        </w:rPr>
        <w:t>5</w:t>
      </w:r>
      <w:r w:rsidR="00FF03F0" w:rsidRPr="00240A8F">
        <w:rPr>
          <w:rFonts w:cs="Times New Roman"/>
          <w:b w:val="0"/>
          <w:szCs w:val="24"/>
        </w:rPr>
        <w:t xml:space="preserve"> Change from baseline in morning pre-dose trough FEV</w:t>
      </w:r>
      <w:r w:rsidR="00FF03F0" w:rsidRPr="00240A8F">
        <w:rPr>
          <w:rFonts w:cs="Times New Roman"/>
          <w:b w:val="0"/>
          <w:szCs w:val="24"/>
          <w:vertAlign w:val="subscript"/>
        </w:rPr>
        <w:t>1</w:t>
      </w:r>
      <w:r w:rsidR="00FF03F0" w:rsidRPr="00240A8F">
        <w:rPr>
          <w:rFonts w:cs="Times New Roman"/>
          <w:b w:val="0"/>
          <w:szCs w:val="24"/>
        </w:rPr>
        <w:t xml:space="preserve"> over 24 weeks by </w:t>
      </w:r>
      <w:r w:rsidR="00D2344E" w:rsidRPr="00240A8F">
        <w:rPr>
          <w:rFonts w:cs="Times New Roman"/>
          <w:b w:val="0"/>
          <w:szCs w:val="24"/>
        </w:rPr>
        <w:t xml:space="preserve">the </w:t>
      </w:r>
      <w:r w:rsidR="00FF03F0" w:rsidRPr="00240A8F">
        <w:rPr>
          <w:rFonts w:cs="Times New Roman"/>
          <w:b w:val="0"/>
          <w:szCs w:val="24"/>
        </w:rPr>
        <w:t>history of moderate/severe exacerbations in the previous 12 months – Ex-US approach (</w:t>
      </w:r>
      <w:r w:rsidR="00F63B39" w:rsidRPr="00240A8F">
        <w:rPr>
          <w:rFonts w:cs="Times New Roman"/>
          <w:b w:val="0"/>
          <w:szCs w:val="24"/>
        </w:rPr>
        <w:t>modified intent-to-treat</w:t>
      </w:r>
      <w:r w:rsidR="00FF03F0" w:rsidRPr="00240A8F">
        <w:rPr>
          <w:rFonts w:cs="Times New Roman"/>
          <w:b w:val="0"/>
          <w:szCs w:val="24"/>
        </w:rPr>
        <w:t xml:space="preserve"> population; efficacy </w:t>
      </w:r>
      <w:proofErr w:type="spellStart"/>
      <w:r w:rsidR="00FF03F0" w:rsidRPr="00240A8F">
        <w:rPr>
          <w:rFonts w:cs="Times New Roman"/>
          <w:b w:val="0"/>
          <w:szCs w:val="24"/>
        </w:rPr>
        <w:t>estimand</w:t>
      </w:r>
      <w:proofErr w:type="spellEnd"/>
      <w:r w:rsidR="00FF03F0" w:rsidRPr="00240A8F">
        <w:rPr>
          <w:rFonts w:cs="Times New Roman"/>
          <w:b w:val="0"/>
          <w:szCs w:val="24"/>
        </w:rPr>
        <w:t xml:space="preserve">). </w:t>
      </w:r>
    </w:p>
    <w:p w14:paraId="4859A5EE" w14:textId="5A48A980" w:rsidR="00931E57" w:rsidRPr="00240A8F" w:rsidRDefault="00084424" w:rsidP="00136638">
      <w:pPr>
        <w:spacing w:after="0" w:line="480" w:lineRule="auto"/>
        <w:rPr>
          <w:rFonts w:cs="Times New Roman"/>
          <w:b w:val="0"/>
          <w:szCs w:val="24"/>
        </w:rPr>
      </w:pPr>
      <w:r w:rsidRPr="00240A8F">
        <w:rPr>
          <w:rFonts w:eastAsia="TimesNewRoman" w:cs="Times New Roman"/>
          <w:b w:val="0"/>
          <w:color w:val="000000"/>
          <w:szCs w:val="24"/>
        </w:rPr>
        <w:t>BFF</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00F63B39" w:rsidRPr="00240A8F">
        <w:rPr>
          <w:rFonts w:eastAsia="TimesNewRoman" w:cs="Times New Roman"/>
          <w:b w:val="0"/>
          <w:color w:val="000000"/>
          <w:szCs w:val="24"/>
        </w:rPr>
        <w:t>budesonide/formoterol fumarate</w:t>
      </w:r>
      <w:r w:rsidR="00EE769E" w:rsidRPr="00240A8F">
        <w:rPr>
          <w:rFonts w:eastAsia="TimesNewRoman" w:cs="Times New Roman"/>
          <w:b w:val="0"/>
          <w:color w:val="000000"/>
          <w:szCs w:val="24"/>
        </w:rPr>
        <w:t xml:space="preserve"> </w:t>
      </w:r>
      <w:r w:rsidR="00EE769E" w:rsidRPr="00240A8F">
        <w:rPr>
          <w:rFonts w:cs="Times New Roman"/>
          <w:b w:val="0"/>
          <w:szCs w:val="24"/>
        </w:rPr>
        <w:t>dihydrate</w:t>
      </w:r>
      <w:r w:rsidR="00F63B39" w:rsidRPr="00240A8F">
        <w:rPr>
          <w:rFonts w:eastAsia="TimesNewRoman" w:cs="Times New Roman"/>
          <w:b w:val="0"/>
          <w:color w:val="000000"/>
          <w:szCs w:val="24"/>
        </w:rPr>
        <w:t>; FEV</w:t>
      </w:r>
      <w:r w:rsidR="00F63B39" w:rsidRPr="00240A8F">
        <w:rPr>
          <w:rFonts w:eastAsia="TimesNewRoman" w:cs="Times New Roman"/>
          <w:b w:val="0"/>
          <w:color w:val="000000"/>
          <w:szCs w:val="24"/>
          <w:vertAlign w:val="subscript"/>
        </w:rPr>
        <w:t>1</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00F63B39" w:rsidRPr="00240A8F">
        <w:rPr>
          <w:rFonts w:cs="Times New Roman"/>
          <w:b w:val="0"/>
          <w:szCs w:val="24"/>
        </w:rPr>
        <w:t xml:space="preserve">forced expiratory volume in 1 second; </w:t>
      </w:r>
      <w:r w:rsidR="00C17DD4" w:rsidRPr="00240A8F">
        <w:rPr>
          <w:rFonts w:eastAsia="TimesNewRoman" w:cs="Times New Roman"/>
          <w:b w:val="0"/>
          <w:color w:val="000000"/>
          <w:szCs w:val="24"/>
        </w:rPr>
        <w:t>FF</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00F63B39" w:rsidRPr="00240A8F">
        <w:rPr>
          <w:rFonts w:eastAsia="TimesNewRoman" w:cs="Times New Roman"/>
          <w:b w:val="0"/>
          <w:color w:val="000000"/>
          <w:szCs w:val="24"/>
        </w:rPr>
        <w:t>formoterol fumarate</w:t>
      </w:r>
      <w:r w:rsidR="00382B94" w:rsidRPr="00240A8F">
        <w:rPr>
          <w:rFonts w:eastAsia="TimesNewRoman" w:cs="Times New Roman"/>
          <w:b w:val="0"/>
          <w:color w:val="000000"/>
          <w:szCs w:val="24"/>
        </w:rPr>
        <w:t xml:space="preserve"> </w:t>
      </w:r>
      <w:r w:rsidR="00382B94" w:rsidRPr="00240A8F">
        <w:rPr>
          <w:rFonts w:cs="Times New Roman"/>
          <w:b w:val="0"/>
          <w:szCs w:val="24"/>
        </w:rPr>
        <w:t>dihydrate</w:t>
      </w:r>
      <w:r w:rsidR="00C17DD4" w:rsidRPr="00240A8F">
        <w:rPr>
          <w:rFonts w:eastAsia="TimesNewRoman" w:cs="Times New Roman"/>
          <w:b w:val="0"/>
          <w:color w:val="000000"/>
          <w:szCs w:val="24"/>
        </w:rPr>
        <w:t>;</w:t>
      </w:r>
      <w:r w:rsidR="00F63B39" w:rsidRPr="00240A8F">
        <w:rPr>
          <w:rFonts w:eastAsia="TimesNewRoman" w:cs="Times New Roman"/>
          <w:b w:val="0"/>
          <w:color w:val="000000"/>
          <w:szCs w:val="24"/>
        </w:rPr>
        <w:t xml:space="preserve"> </w:t>
      </w:r>
      <w:r w:rsidRPr="00240A8F">
        <w:rPr>
          <w:rFonts w:eastAsia="TimesNewRoman" w:cs="Times New Roman"/>
          <w:b w:val="0"/>
          <w:color w:val="000000"/>
          <w:szCs w:val="24"/>
        </w:rPr>
        <w:t>MDI</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00F63B39" w:rsidRPr="00240A8F">
        <w:rPr>
          <w:rFonts w:eastAsia="TimesNewRoman" w:cs="Times New Roman"/>
          <w:b w:val="0"/>
          <w:color w:val="000000"/>
          <w:szCs w:val="24"/>
        </w:rPr>
        <w:t>metered dose inhaler</w:t>
      </w:r>
      <w:r w:rsidRPr="00240A8F">
        <w:rPr>
          <w:rFonts w:eastAsia="TimesNewRoman" w:cs="Times New Roman"/>
          <w:b w:val="0"/>
          <w:color w:val="000000"/>
          <w:szCs w:val="24"/>
        </w:rPr>
        <w:t>; m/s exac</w:t>
      </w:r>
      <w:r w:rsidR="00302BC1" w:rsidRPr="00240A8F">
        <w:rPr>
          <w:rFonts w:eastAsia="TimesNewRoman" w:cs="Times New Roman"/>
          <w:b w:val="0"/>
          <w:color w:val="000000"/>
          <w:szCs w:val="24"/>
        </w:rPr>
        <w:t>:</w:t>
      </w:r>
      <w:r w:rsidR="00B11842" w:rsidRPr="00240A8F">
        <w:rPr>
          <w:rFonts w:eastAsia="TimesNewRoman" w:cs="Times New Roman"/>
          <w:b w:val="0"/>
          <w:color w:val="000000"/>
          <w:szCs w:val="24"/>
        </w:rPr>
        <w:t xml:space="preserve"> </w:t>
      </w:r>
      <w:r w:rsidRPr="00240A8F">
        <w:rPr>
          <w:rFonts w:cs="Times New Roman"/>
          <w:b w:val="0"/>
          <w:szCs w:val="24"/>
        </w:rPr>
        <w:t>moderate/severe exacerbation.</w:t>
      </w:r>
    </w:p>
    <w:p w14:paraId="323F66EA" w14:textId="77777777" w:rsidR="00931E57" w:rsidRPr="00240A8F" w:rsidRDefault="00931E57" w:rsidP="00136638">
      <w:pPr>
        <w:spacing w:after="160" w:line="480" w:lineRule="auto"/>
        <w:rPr>
          <w:rFonts w:cs="Times New Roman"/>
          <w:b w:val="0"/>
          <w:szCs w:val="24"/>
        </w:rPr>
      </w:pPr>
      <w:r w:rsidRPr="00240A8F">
        <w:rPr>
          <w:rFonts w:cs="Times New Roman"/>
          <w:b w:val="0"/>
          <w:szCs w:val="24"/>
        </w:rPr>
        <w:br w:type="page"/>
      </w:r>
    </w:p>
    <w:p w14:paraId="455BF57A" w14:textId="3235EDFE" w:rsidR="005D5EE1" w:rsidRPr="00240A8F" w:rsidRDefault="00DE62EF" w:rsidP="00DE62EF">
      <w:pPr>
        <w:spacing w:after="0" w:line="360" w:lineRule="auto"/>
        <w:jc w:val="center"/>
        <w:rPr>
          <w:rFonts w:eastAsia="TimesNewRoman" w:cs="Times New Roman"/>
          <w:b w:val="0"/>
          <w:color w:val="000000"/>
          <w:szCs w:val="24"/>
        </w:rPr>
      </w:pPr>
      <w:r w:rsidRPr="00240A8F">
        <w:rPr>
          <w:rFonts w:eastAsia="Times New Roman" w:cs="Times New Roman"/>
          <w:b w:val="0"/>
          <w:noProof/>
          <w:sz w:val="16"/>
          <w:szCs w:val="16"/>
          <w:lang w:eastAsia="en-GB"/>
        </w:rPr>
        <w:lastRenderedPageBreak/>
        <w:drawing>
          <wp:inline distT="0" distB="0" distL="0" distR="0" wp14:anchorId="59F7F014" wp14:editId="169B7D22">
            <wp:extent cx="4859867" cy="29564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E6.jpg"/>
                    <pic:cNvPicPr/>
                  </pic:nvPicPr>
                  <pic:blipFill rotWithShape="1">
                    <a:blip r:embed="rId16" cstate="print">
                      <a:extLst>
                        <a:ext uri="{28A0092B-C50C-407E-A947-70E740481C1C}">
                          <a14:useLocalDpi xmlns:a14="http://schemas.microsoft.com/office/drawing/2010/main" val="0"/>
                        </a:ext>
                      </a:extLst>
                    </a:blip>
                    <a:srcRect l="16025" t="51475" r="-423"/>
                    <a:stretch/>
                  </pic:blipFill>
                  <pic:spPr bwMode="auto">
                    <a:xfrm>
                      <a:off x="0" y="0"/>
                      <a:ext cx="4860953" cy="2957152"/>
                    </a:xfrm>
                    <a:prstGeom prst="rect">
                      <a:avLst/>
                    </a:prstGeom>
                    <a:ln>
                      <a:noFill/>
                    </a:ln>
                    <a:extLst>
                      <a:ext uri="{53640926-AAD7-44D8-BBD7-CCE9431645EC}">
                        <a14:shadowObscured xmlns:a14="http://schemas.microsoft.com/office/drawing/2010/main"/>
                      </a:ext>
                    </a:extLst>
                  </pic:spPr>
                </pic:pic>
              </a:graphicData>
            </a:graphic>
          </wp:inline>
        </w:drawing>
      </w:r>
    </w:p>
    <w:p w14:paraId="73E51452" w14:textId="77777777" w:rsidR="00931E57" w:rsidRPr="00240A8F" w:rsidRDefault="00931E57" w:rsidP="00084424">
      <w:pPr>
        <w:spacing w:after="0" w:line="360" w:lineRule="auto"/>
        <w:rPr>
          <w:rFonts w:eastAsia="TimesNewRoman" w:cs="Times New Roman"/>
          <w:b w:val="0"/>
          <w:color w:val="000000"/>
          <w:szCs w:val="24"/>
        </w:rPr>
      </w:pPr>
    </w:p>
    <w:p w14:paraId="4A31342A" w14:textId="77777777" w:rsidR="00136638" w:rsidRPr="009D5002" w:rsidRDefault="00931E57" w:rsidP="00136638">
      <w:pPr>
        <w:spacing w:after="0" w:line="480" w:lineRule="auto"/>
        <w:rPr>
          <w:rFonts w:cs="Times New Roman"/>
          <w:b w:val="0"/>
          <w:szCs w:val="24"/>
        </w:rPr>
      </w:pPr>
      <w:r w:rsidRPr="00240A8F">
        <w:rPr>
          <w:rFonts w:cs="Times New Roman"/>
          <w:szCs w:val="24"/>
        </w:rPr>
        <w:t>FIGURE E6</w:t>
      </w:r>
      <w:r w:rsidRPr="00240A8F">
        <w:rPr>
          <w:rFonts w:cs="Times New Roman"/>
          <w:b w:val="0"/>
          <w:szCs w:val="24"/>
        </w:rPr>
        <w:t xml:space="preserve"> </w:t>
      </w:r>
      <w:r w:rsidR="0053302D" w:rsidRPr="00240A8F">
        <w:rPr>
          <w:rFonts w:cs="Times New Roman"/>
          <w:b w:val="0"/>
          <w:szCs w:val="24"/>
        </w:rPr>
        <w:t xml:space="preserve">The annualized rate of </w:t>
      </w:r>
      <w:r w:rsidR="0053302D" w:rsidRPr="009D5002">
        <w:rPr>
          <w:rFonts w:cs="Times New Roman"/>
          <w:b w:val="0"/>
          <w:szCs w:val="24"/>
        </w:rPr>
        <w:t>moderate</w:t>
      </w:r>
      <w:r w:rsidRPr="009D5002">
        <w:rPr>
          <w:rFonts w:cs="Times New Roman"/>
          <w:b w:val="0"/>
          <w:szCs w:val="24"/>
        </w:rPr>
        <w:t>/severe COPD exacerbations by 4-week intervals (modified intent-to-treat population</w:t>
      </w:r>
      <w:r w:rsidR="00237EA2" w:rsidRPr="009D5002">
        <w:rPr>
          <w:rFonts w:cs="Times New Roman"/>
          <w:b w:val="0"/>
          <w:szCs w:val="24"/>
        </w:rPr>
        <w:t xml:space="preserve">; </w:t>
      </w:r>
      <w:r w:rsidR="0090583A" w:rsidRPr="009D5002">
        <w:rPr>
          <w:rFonts w:cs="Times New Roman"/>
          <w:b w:val="0"/>
          <w:szCs w:val="24"/>
        </w:rPr>
        <w:t>GEE</w:t>
      </w:r>
      <w:r w:rsidR="00237EA2" w:rsidRPr="009D5002">
        <w:rPr>
          <w:rFonts w:cs="Times New Roman"/>
          <w:b w:val="0"/>
          <w:szCs w:val="24"/>
        </w:rPr>
        <w:t xml:space="preserve"> model</w:t>
      </w:r>
      <w:r w:rsidRPr="009D5002">
        <w:rPr>
          <w:rFonts w:cs="Times New Roman"/>
          <w:b w:val="0"/>
          <w:szCs w:val="24"/>
        </w:rPr>
        <w:t>).</w:t>
      </w:r>
      <w:r w:rsidR="0053302D" w:rsidRPr="009D5002">
        <w:rPr>
          <w:rFonts w:cs="Times New Roman"/>
          <w:b w:val="0"/>
          <w:szCs w:val="24"/>
        </w:rPr>
        <w:t xml:space="preserve"> </w:t>
      </w:r>
    </w:p>
    <w:p w14:paraId="3649872C" w14:textId="3E444FCE" w:rsidR="00931E57" w:rsidRPr="00240A8F" w:rsidRDefault="00931E57" w:rsidP="00136638">
      <w:pPr>
        <w:spacing w:after="0" w:line="480" w:lineRule="auto"/>
        <w:rPr>
          <w:rFonts w:eastAsia="TimesNewRoman" w:cs="Times New Roman"/>
          <w:b w:val="0"/>
          <w:color w:val="000000"/>
          <w:szCs w:val="24"/>
        </w:rPr>
      </w:pPr>
      <w:r w:rsidRPr="009D5002">
        <w:rPr>
          <w:rFonts w:eastAsia="TimesNewRoman" w:cs="Times New Roman"/>
          <w:b w:val="0"/>
          <w:color w:val="000000"/>
          <w:szCs w:val="24"/>
        </w:rPr>
        <w:t xml:space="preserve">BFF: budesonide/formoterol fumarate </w:t>
      </w:r>
      <w:r w:rsidRPr="009D5002">
        <w:rPr>
          <w:rFonts w:cs="Times New Roman"/>
          <w:b w:val="0"/>
          <w:szCs w:val="24"/>
        </w:rPr>
        <w:t>dihydrate</w:t>
      </w:r>
      <w:r w:rsidRPr="009D5002">
        <w:rPr>
          <w:rFonts w:eastAsia="TimesNewRoman" w:cs="Times New Roman"/>
          <w:b w:val="0"/>
          <w:color w:val="000000"/>
          <w:szCs w:val="24"/>
        </w:rPr>
        <w:t xml:space="preserve">; </w:t>
      </w:r>
      <w:r w:rsidR="00203075" w:rsidRPr="009D5002">
        <w:rPr>
          <w:rFonts w:eastAsia="TimesNewRoman" w:cs="Times New Roman"/>
          <w:b w:val="0"/>
          <w:color w:val="000000"/>
          <w:szCs w:val="24"/>
        </w:rPr>
        <w:t xml:space="preserve">COPD: chronic obstructive pulmonary disease; </w:t>
      </w:r>
      <w:r w:rsidRPr="009D5002">
        <w:rPr>
          <w:rFonts w:eastAsia="TimesNewRoman" w:cs="Times New Roman"/>
          <w:b w:val="0"/>
          <w:color w:val="000000"/>
          <w:szCs w:val="24"/>
        </w:rPr>
        <w:t xml:space="preserve">FF: formoterol fumarate </w:t>
      </w:r>
      <w:r w:rsidRPr="009D5002">
        <w:rPr>
          <w:rFonts w:cs="Times New Roman"/>
          <w:b w:val="0"/>
          <w:szCs w:val="24"/>
        </w:rPr>
        <w:t>dihydrate</w:t>
      </w:r>
      <w:r w:rsidRPr="009D5002">
        <w:rPr>
          <w:rFonts w:eastAsia="TimesNewRoman" w:cs="Times New Roman"/>
          <w:b w:val="0"/>
          <w:color w:val="000000"/>
          <w:szCs w:val="24"/>
        </w:rPr>
        <w:t xml:space="preserve">; </w:t>
      </w:r>
      <w:r w:rsidR="007E33DB" w:rsidRPr="009D5002">
        <w:rPr>
          <w:rFonts w:eastAsia="TimesNewRoman" w:cs="Times New Roman"/>
          <w:b w:val="0"/>
          <w:color w:val="000000"/>
          <w:szCs w:val="24"/>
        </w:rPr>
        <w:t xml:space="preserve">GEE: </w:t>
      </w:r>
      <w:r w:rsidR="007E33DB" w:rsidRPr="009D5002">
        <w:rPr>
          <w:rFonts w:cs="Times New Roman"/>
          <w:b w:val="0"/>
          <w:szCs w:val="24"/>
        </w:rPr>
        <w:t>generalised estimating equation;</w:t>
      </w:r>
      <w:r w:rsidR="007E33DB" w:rsidRPr="009D5002">
        <w:rPr>
          <w:rFonts w:eastAsia="TimesNewRoman" w:cs="Times New Roman"/>
          <w:b w:val="0"/>
          <w:color w:val="000000"/>
          <w:szCs w:val="24"/>
        </w:rPr>
        <w:t xml:space="preserve"> </w:t>
      </w:r>
      <w:r w:rsidRPr="009D5002">
        <w:rPr>
          <w:rFonts w:eastAsia="TimesNewRoman" w:cs="Times New Roman"/>
          <w:b w:val="0"/>
          <w:color w:val="000000"/>
          <w:szCs w:val="24"/>
        </w:rPr>
        <w:t>MDI: metered dose inhaler.</w:t>
      </w:r>
    </w:p>
    <w:sectPr w:rsidR="00931E57" w:rsidRPr="00240A8F" w:rsidSect="00D35E27">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0CA5E" w14:textId="77777777" w:rsidR="00193EFC" w:rsidRDefault="00193EFC" w:rsidP="00742A21">
      <w:pPr>
        <w:spacing w:after="0"/>
      </w:pPr>
      <w:r>
        <w:separator/>
      </w:r>
    </w:p>
  </w:endnote>
  <w:endnote w:type="continuationSeparator" w:id="0">
    <w:p w14:paraId="4876964F" w14:textId="77777777" w:rsidR="00193EFC" w:rsidRDefault="00193EFC" w:rsidP="00742A21">
      <w:pPr>
        <w:spacing w:after="0"/>
      </w:pPr>
      <w:r>
        <w:continuationSeparator/>
      </w:r>
    </w:p>
  </w:endnote>
  <w:endnote w:type="continuationNotice" w:id="1">
    <w:p w14:paraId="767B33AD" w14:textId="77777777" w:rsidR="00193EFC" w:rsidRDefault="00193E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rPr>
      <w:id w:val="1197578704"/>
      <w:docPartObj>
        <w:docPartGallery w:val="Page Numbers (Bottom of Page)"/>
        <w:docPartUnique/>
      </w:docPartObj>
    </w:sdtPr>
    <w:sdtEndPr>
      <w:rPr>
        <w:noProof/>
      </w:rPr>
    </w:sdtEndPr>
    <w:sdtContent>
      <w:p w14:paraId="60F5992E" w14:textId="620B48D4" w:rsidR="005B63F4" w:rsidRPr="00147B39" w:rsidRDefault="005B63F4" w:rsidP="00147B39">
        <w:pPr>
          <w:pStyle w:val="Footer"/>
          <w:jc w:val="center"/>
          <w:rPr>
            <w:b w:val="0"/>
          </w:rPr>
        </w:pPr>
        <w:r w:rsidRPr="009F5CEE">
          <w:rPr>
            <w:b w:val="0"/>
          </w:rPr>
          <w:fldChar w:fldCharType="begin"/>
        </w:r>
        <w:r w:rsidRPr="009F5CEE">
          <w:rPr>
            <w:b w:val="0"/>
          </w:rPr>
          <w:instrText xml:space="preserve"> PAGE   \* MERGEFORMAT </w:instrText>
        </w:r>
        <w:r w:rsidRPr="009F5CEE">
          <w:rPr>
            <w:b w:val="0"/>
          </w:rPr>
          <w:fldChar w:fldCharType="separate"/>
        </w:r>
        <w:r w:rsidR="005A11B0">
          <w:rPr>
            <w:b w:val="0"/>
            <w:noProof/>
          </w:rPr>
          <w:t>1</w:t>
        </w:r>
        <w:r w:rsidRPr="009F5CEE">
          <w:rPr>
            <w:b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1402" w14:textId="77777777" w:rsidR="00193EFC" w:rsidRDefault="00193EFC" w:rsidP="00742A21">
      <w:pPr>
        <w:spacing w:after="0"/>
      </w:pPr>
      <w:r>
        <w:separator/>
      </w:r>
    </w:p>
  </w:footnote>
  <w:footnote w:type="continuationSeparator" w:id="0">
    <w:p w14:paraId="405314C3" w14:textId="77777777" w:rsidR="00193EFC" w:rsidRDefault="00193EFC" w:rsidP="00742A21">
      <w:pPr>
        <w:spacing w:after="0"/>
      </w:pPr>
      <w:r>
        <w:continuationSeparator/>
      </w:r>
    </w:p>
  </w:footnote>
  <w:footnote w:type="continuationNotice" w:id="1">
    <w:p w14:paraId="7AF4C490" w14:textId="77777777" w:rsidR="00193EFC" w:rsidRDefault="00193EF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230"/>
    <w:multiLevelType w:val="hybridMultilevel"/>
    <w:tmpl w:val="D4C8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2666F"/>
    <w:multiLevelType w:val="hybridMultilevel"/>
    <w:tmpl w:val="F2880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E1C9E"/>
    <w:multiLevelType w:val="hybridMultilevel"/>
    <w:tmpl w:val="8C10B4BA"/>
    <w:lvl w:ilvl="0" w:tplc="DF7A0DD8">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962B2"/>
    <w:multiLevelType w:val="hybridMultilevel"/>
    <w:tmpl w:val="473676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1A307C"/>
    <w:multiLevelType w:val="hybridMultilevel"/>
    <w:tmpl w:val="94A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30E4F"/>
    <w:multiLevelType w:val="hybridMultilevel"/>
    <w:tmpl w:val="F6F22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A5A6C"/>
    <w:multiLevelType w:val="hybridMultilevel"/>
    <w:tmpl w:val="DE18F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B7430"/>
    <w:multiLevelType w:val="hybridMultilevel"/>
    <w:tmpl w:val="686A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F0318"/>
    <w:multiLevelType w:val="hybridMultilevel"/>
    <w:tmpl w:val="CA04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C6706C"/>
    <w:multiLevelType w:val="hybridMultilevel"/>
    <w:tmpl w:val="B50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836B7"/>
    <w:multiLevelType w:val="hybridMultilevel"/>
    <w:tmpl w:val="822EA264"/>
    <w:lvl w:ilvl="0" w:tplc="6C7AF938">
      <w:start w:val="1"/>
      <w:numFmt w:val="lowerRoman"/>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611AF"/>
    <w:multiLevelType w:val="hybridMultilevel"/>
    <w:tmpl w:val="822EA264"/>
    <w:lvl w:ilvl="0" w:tplc="6C7AF938">
      <w:start w:val="1"/>
      <w:numFmt w:val="lowerRoman"/>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60AC7"/>
    <w:multiLevelType w:val="hybridMultilevel"/>
    <w:tmpl w:val="C9FA1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D4157"/>
    <w:multiLevelType w:val="hybridMultilevel"/>
    <w:tmpl w:val="77E88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D670E"/>
    <w:multiLevelType w:val="hybridMultilevel"/>
    <w:tmpl w:val="9E1E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E22F4"/>
    <w:multiLevelType w:val="singleLevel"/>
    <w:tmpl w:val="B1408D84"/>
    <w:lvl w:ilvl="0">
      <w:start w:val="1"/>
      <w:numFmt w:val="bullet"/>
      <w:pStyle w:val="ListBullet"/>
      <w:lvlText w:val="•"/>
      <w:lvlJc w:val="left"/>
      <w:pPr>
        <w:tabs>
          <w:tab w:val="num" w:pos="3240"/>
        </w:tabs>
        <w:ind w:left="3240" w:hanging="360"/>
      </w:pPr>
      <w:rPr>
        <w:rFonts w:ascii="Times New Roman" w:hAnsi="Times New Roman" w:cs="Times New Roman" w:hint="default"/>
        <w:b w:val="0"/>
        <w:i w:val="0"/>
        <w:caps w:val="0"/>
        <w:strike w:val="0"/>
        <w:sz w:val="32"/>
        <w:u w:val="none"/>
        <w:vertAlign w:val="baseline"/>
      </w:rPr>
    </w:lvl>
  </w:abstractNum>
  <w:abstractNum w:abstractNumId="16" w15:restartNumberingAfterBreak="0">
    <w:nsid w:val="2E604EFD"/>
    <w:multiLevelType w:val="hybridMultilevel"/>
    <w:tmpl w:val="B29EC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E48BD"/>
    <w:multiLevelType w:val="hybridMultilevel"/>
    <w:tmpl w:val="8690D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71880"/>
    <w:multiLevelType w:val="hybridMultilevel"/>
    <w:tmpl w:val="579C8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F2D01"/>
    <w:multiLevelType w:val="hybridMultilevel"/>
    <w:tmpl w:val="46E6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8640C"/>
    <w:multiLevelType w:val="hybridMultilevel"/>
    <w:tmpl w:val="DE7A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F6A12"/>
    <w:multiLevelType w:val="hybridMultilevel"/>
    <w:tmpl w:val="FEAA6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26522"/>
    <w:multiLevelType w:val="hybridMultilevel"/>
    <w:tmpl w:val="E82ED4D6"/>
    <w:lvl w:ilvl="0" w:tplc="5D4492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F34E1"/>
    <w:multiLevelType w:val="multilevel"/>
    <w:tmpl w:val="5526FAD4"/>
    <w:lvl w:ilvl="0">
      <w:start w:val="1"/>
      <w:numFmt w:val="decimal"/>
      <w:lvlRestart w:val="0"/>
      <w:lvlText w:val="%1"/>
      <w:lvlJc w:val="left"/>
      <w:pPr>
        <w:tabs>
          <w:tab w:val="num" w:pos="480"/>
        </w:tabs>
        <w:ind w:left="480" w:hanging="480"/>
      </w:pPr>
      <w:rPr>
        <w:rFonts w:ascii="Arial" w:hAnsi="Arial" w:cs="Arial" w:hint="default"/>
        <w:b/>
        <w:i w:val="0"/>
        <w:caps/>
        <w:smallCaps w:val="0"/>
        <w:sz w:val="28"/>
        <w:u w:val="none"/>
        <w:vertAlign w:val="baseline"/>
      </w:rPr>
    </w:lvl>
    <w:lvl w:ilvl="1">
      <w:start w:val="1"/>
      <w:numFmt w:val="decimal"/>
      <w:lvlText w:val="%1.%2"/>
      <w:lvlJc w:val="left"/>
      <w:pPr>
        <w:tabs>
          <w:tab w:val="num" w:pos="3780"/>
        </w:tabs>
        <w:ind w:left="378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5460"/>
        </w:tabs>
        <w:ind w:left="5460" w:hanging="9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00"/>
        </w:tabs>
        <w:ind w:left="1200" w:hanging="1200"/>
      </w:pPr>
      <w:rPr>
        <w:rFonts w:hint="default"/>
      </w:rPr>
    </w:lvl>
    <w:lvl w:ilvl="4">
      <w:start w:val="1"/>
      <w:numFmt w:val="none"/>
      <w:pStyle w:val="Heading5"/>
      <w:suff w:val="nothing"/>
      <w:lvlText w:val=""/>
      <w:lvlJc w:val="left"/>
      <w:pPr>
        <w:ind w:left="0" w:firstLine="0"/>
      </w:pPr>
      <w:rPr>
        <w:rFonts w:ascii="Arial" w:hAnsi="Arial" w:cs="Arial" w:hint="default"/>
        <w:b/>
        <w:i w:val="0"/>
        <w:caps w:val="0"/>
        <w:sz w:val="22"/>
        <w:u w:val="none"/>
        <w:vertAlign w:val="baseline"/>
      </w:rPr>
    </w:lvl>
    <w:lvl w:ilvl="5">
      <w:start w:val="1"/>
      <w:numFmt w:val="none"/>
      <w:pStyle w:val="Heading6"/>
      <w:suff w:val="nothing"/>
      <w:lvlText w:val=""/>
      <w:lvlJc w:val="left"/>
      <w:pPr>
        <w:ind w:left="0" w:firstLine="0"/>
      </w:pPr>
      <w:rPr>
        <w:rFonts w:ascii="Arial" w:hAnsi="Arial" w:cs="Arial" w:hint="default"/>
        <w:b/>
        <w:i w:val="0"/>
        <w:caps w:val="0"/>
        <w:sz w:val="22"/>
        <w:u w:val="none"/>
        <w:vertAlign w:val="baseline"/>
      </w:rPr>
    </w:lvl>
    <w:lvl w:ilvl="6">
      <w:start w:val="1"/>
      <w:numFmt w:val="none"/>
      <w:pStyle w:val="Heading7"/>
      <w:suff w:val="nothing"/>
      <w:lvlText w:val=""/>
      <w:lvlJc w:val="left"/>
      <w:pPr>
        <w:ind w:left="0" w:firstLine="0"/>
      </w:pPr>
      <w:rPr>
        <w:rFonts w:ascii="Arial" w:hAnsi="Arial" w:cs="Arial" w:hint="default"/>
        <w:b w:val="0"/>
        <w:i/>
        <w:caps w:val="0"/>
        <w:sz w:val="22"/>
        <w:u w:val="none"/>
        <w:vertAlign w:val="baseline"/>
      </w:rPr>
    </w:lvl>
    <w:lvl w:ilvl="7">
      <w:start w:val="1"/>
      <w:numFmt w:val="none"/>
      <w:pStyle w:val="Heading8"/>
      <w:suff w:val="nothing"/>
      <w:lvlText w:val=""/>
      <w:lvlJc w:val="left"/>
      <w:pPr>
        <w:ind w:left="0" w:firstLine="0"/>
      </w:pPr>
      <w:rPr>
        <w:rFonts w:ascii="Arial" w:hAnsi="Arial" w:cs="Arial" w:hint="default"/>
        <w:b w:val="0"/>
        <w:i/>
        <w:caps w:val="0"/>
        <w:sz w:val="22"/>
        <w:u w:val="none"/>
        <w:vertAlign w:val="baseline"/>
      </w:rPr>
    </w:lvl>
    <w:lvl w:ilvl="8">
      <w:start w:val="1"/>
      <w:numFmt w:val="none"/>
      <w:pStyle w:val="Heading9"/>
      <w:suff w:val="nothing"/>
      <w:lvlText w:val=""/>
      <w:lvlJc w:val="left"/>
      <w:pPr>
        <w:ind w:left="0" w:firstLine="0"/>
      </w:pPr>
      <w:rPr>
        <w:rFonts w:ascii="Arial" w:hAnsi="Arial" w:cs="Arial" w:hint="default"/>
        <w:b w:val="0"/>
        <w:i/>
        <w:caps w:val="0"/>
        <w:sz w:val="22"/>
        <w:u w:val="none"/>
        <w:vertAlign w:val="baseline"/>
      </w:rPr>
    </w:lvl>
  </w:abstractNum>
  <w:abstractNum w:abstractNumId="24" w15:restartNumberingAfterBreak="0">
    <w:nsid w:val="4CED5BFF"/>
    <w:multiLevelType w:val="hybridMultilevel"/>
    <w:tmpl w:val="B7AE12CE"/>
    <w:lvl w:ilvl="0" w:tplc="33B0425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F50397"/>
    <w:multiLevelType w:val="hybridMultilevel"/>
    <w:tmpl w:val="9F62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F7F2D"/>
    <w:multiLevelType w:val="hybridMultilevel"/>
    <w:tmpl w:val="46ACB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965C8"/>
    <w:multiLevelType w:val="hybridMultilevel"/>
    <w:tmpl w:val="C4D84C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994A9E"/>
    <w:multiLevelType w:val="hybridMultilevel"/>
    <w:tmpl w:val="D4CA013C"/>
    <w:lvl w:ilvl="0" w:tplc="171831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6615EC"/>
    <w:multiLevelType w:val="hybridMultilevel"/>
    <w:tmpl w:val="5A06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F5A23"/>
    <w:multiLevelType w:val="hybridMultilevel"/>
    <w:tmpl w:val="DD5E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711BF"/>
    <w:multiLevelType w:val="hybridMultilevel"/>
    <w:tmpl w:val="4CB04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0AE2E44"/>
    <w:multiLevelType w:val="hybridMultilevel"/>
    <w:tmpl w:val="22BE2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C3EE9"/>
    <w:multiLevelType w:val="hybridMultilevel"/>
    <w:tmpl w:val="B2F4B978"/>
    <w:lvl w:ilvl="0" w:tplc="B3E04F76">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A2DDD"/>
    <w:multiLevelType w:val="hybridMultilevel"/>
    <w:tmpl w:val="4C10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C7D2B"/>
    <w:multiLevelType w:val="hybridMultilevel"/>
    <w:tmpl w:val="6A8C1820"/>
    <w:lvl w:ilvl="0" w:tplc="EF3C700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FC4AA3"/>
    <w:multiLevelType w:val="hybridMultilevel"/>
    <w:tmpl w:val="09708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6FE509E"/>
    <w:multiLevelType w:val="hybridMultilevel"/>
    <w:tmpl w:val="E2C2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27AE2"/>
    <w:multiLevelType w:val="hybridMultilevel"/>
    <w:tmpl w:val="E5404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5"/>
  </w:num>
  <w:num w:numId="4">
    <w:abstractNumId w:val="23"/>
  </w:num>
  <w:num w:numId="5">
    <w:abstractNumId w:val="32"/>
  </w:num>
  <w:num w:numId="6">
    <w:abstractNumId w:val="0"/>
  </w:num>
  <w:num w:numId="7">
    <w:abstractNumId w:val="14"/>
  </w:num>
  <w:num w:numId="8">
    <w:abstractNumId w:val="12"/>
  </w:num>
  <w:num w:numId="9">
    <w:abstractNumId w:val="7"/>
  </w:num>
  <w:num w:numId="10">
    <w:abstractNumId w:val="18"/>
  </w:num>
  <w:num w:numId="11">
    <w:abstractNumId w:val="28"/>
  </w:num>
  <w:num w:numId="12">
    <w:abstractNumId w:val="24"/>
  </w:num>
  <w:num w:numId="13">
    <w:abstractNumId w:val="22"/>
  </w:num>
  <w:num w:numId="14">
    <w:abstractNumId w:val="35"/>
  </w:num>
  <w:num w:numId="15">
    <w:abstractNumId w:val="11"/>
  </w:num>
  <w:num w:numId="16">
    <w:abstractNumId w:val="10"/>
  </w:num>
  <w:num w:numId="17">
    <w:abstractNumId w:val="38"/>
  </w:num>
  <w:num w:numId="18">
    <w:abstractNumId w:val="25"/>
  </w:num>
  <w:num w:numId="19">
    <w:abstractNumId w:val="8"/>
  </w:num>
  <w:num w:numId="20">
    <w:abstractNumId w:val="17"/>
  </w:num>
  <w:num w:numId="21">
    <w:abstractNumId w:val="21"/>
  </w:num>
  <w:num w:numId="22">
    <w:abstractNumId w:val="20"/>
  </w:num>
  <w:num w:numId="23">
    <w:abstractNumId w:val="6"/>
  </w:num>
  <w:num w:numId="24">
    <w:abstractNumId w:val="36"/>
  </w:num>
  <w:num w:numId="25">
    <w:abstractNumId w:val="4"/>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9"/>
  </w:num>
  <w:num w:numId="30">
    <w:abstractNumId w:val="26"/>
  </w:num>
  <w:num w:numId="31">
    <w:abstractNumId w:val="29"/>
  </w:num>
  <w:num w:numId="32">
    <w:abstractNumId w:val="27"/>
  </w:num>
  <w:num w:numId="33">
    <w:abstractNumId w:val="9"/>
  </w:num>
  <w:num w:numId="34">
    <w:abstractNumId w:val="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7"/>
  </w:num>
  <w:num w:numId="38">
    <w:abstractNumId w:val="16"/>
  </w:num>
  <w:num w:numId="39">
    <w:abstractNumId w:val="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2NDMzNTM1NzU0MzZW0lEKTi0uzszPAykwrQUAt6UKoCwAAAA="/>
    <w:docVar w:name="EN.InstantFormat" w:val="&lt;ENInstantFormat&gt;&lt;Enabled&gt;0&lt;/Enabled&gt;&lt;ScanUnformatted&gt;1&lt;/ScanUnformatted&gt;&lt;ScanChanges&gt;1&lt;/ScanChanges&gt;&lt;Suspended&gt;0&lt;/Suspended&gt;&lt;/ENInstantFormat&gt;"/>
    <w:docVar w:name="EN.Layout" w:val="&lt;ENLayout&gt;&lt;Style&gt;Euro Respiratory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s20exdveixa5ddesefqxt02ztv0xp25xdw29&quot;&gt;AZ.Pearl@complete-mc.com&lt;record-ids&gt;&lt;item&gt;5&lt;/item&gt;&lt;item&gt;161&lt;/item&gt;&lt;item&gt;162&lt;/item&gt;&lt;item&gt;371&lt;/item&gt;&lt;item&gt;372&lt;/item&gt;&lt;item&gt;375&lt;/item&gt;&lt;item&gt;386&lt;/item&gt;&lt;item&gt;387&lt;/item&gt;&lt;item&gt;429&lt;/item&gt;&lt;item&gt;527&lt;/item&gt;&lt;item&gt;668&lt;/item&gt;&lt;item&gt;712&lt;/item&gt;&lt;item&gt;919&lt;/item&gt;&lt;item&gt;935&lt;/item&gt;&lt;item&gt;946&lt;/item&gt;&lt;item&gt;953&lt;/item&gt;&lt;item&gt;956&lt;/item&gt;&lt;item&gt;968&lt;/item&gt;&lt;item&gt;991&lt;/item&gt;&lt;item&gt;997&lt;/item&gt;&lt;item&gt;1093&lt;/item&gt;&lt;item&gt;1094&lt;/item&gt;&lt;item&gt;1099&lt;/item&gt;&lt;item&gt;1126&lt;/item&gt;&lt;item&gt;1952&lt;/item&gt;&lt;item&gt;2034&lt;/item&gt;&lt;item&gt;2035&lt;/item&gt;&lt;item&gt;2036&lt;/item&gt;&lt;item&gt;2191&lt;/item&gt;&lt;item&gt;2258&lt;/item&gt;&lt;/record-ids&gt;&lt;/item&gt;&lt;/Libraries&gt;"/>
  </w:docVars>
  <w:rsids>
    <w:rsidRoot w:val="004904C1"/>
    <w:rsid w:val="00000781"/>
    <w:rsid w:val="00003210"/>
    <w:rsid w:val="00003865"/>
    <w:rsid w:val="0000401D"/>
    <w:rsid w:val="00005629"/>
    <w:rsid w:val="00006F91"/>
    <w:rsid w:val="00007251"/>
    <w:rsid w:val="00007964"/>
    <w:rsid w:val="0001290F"/>
    <w:rsid w:val="00012A88"/>
    <w:rsid w:val="000133EB"/>
    <w:rsid w:val="0001453E"/>
    <w:rsid w:val="00015A57"/>
    <w:rsid w:val="000170E7"/>
    <w:rsid w:val="00021B06"/>
    <w:rsid w:val="00022828"/>
    <w:rsid w:val="00023D70"/>
    <w:rsid w:val="00024C1F"/>
    <w:rsid w:val="0002576A"/>
    <w:rsid w:val="00030DA3"/>
    <w:rsid w:val="000311ED"/>
    <w:rsid w:val="00036800"/>
    <w:rsid w:val="00037F73"/>
    <w:rsid w:val="000403F6"/>
    <w:rsid w:val="00040AC8"/>
    <w:rsid w:val="00041878"/>
    <w:rsid w:val="00042233"/>
    <w:rsid w:val="0004288D"/>
    <w:rsid w:val="000439F3"/>
    <w:rsid w:val="00046528"/>
    <w:rsid w:val="000518AD"/>
    <w:rsid w:val="00051F39"/>
    <w:rsid w:val="00052BC3"/>
    <w:rsid w:val="00052FD9"/>
    <w:rsid w:val="00053825"/>
    <w:rsid w:val="00054394"/>
    <w:rsid w:val="00055D71"/>
    <w:rsid w:val="00060FE5"/>
    <w:rsid w:val="00063329"/>
    <w:rsid w:val="0006352C"/>
    <w:rsid w:val="00063700"/>
    <w:rsid w:val="00063F9D"/>
    <w:rsid w:val="00067A4F"/>
    <w:rsid w:val="00070BFF"/>
    <w:rsid w:val="00074983"/>
    <w:rsid w:val="00074B5E"/>
    <w:rsid w:val="00075400"/>
    <w:rsid w:val="00077BB8"/>
    <w:rsid w:val="00077C49"/>
    <w:rsid w:val="00080C97"/>
    <w:rsid w:val="00081504"/>
    <w:rsid w:val="00081509"/>
    <w:rsid w:val="00084424"/>
    <w:rsid w:val="00085851"/>
    <w:rsid w:val="000875D3"/>
    <w:rsid w:val="00093199"/>
    <w:rsid w:val="0009334D"/>
    <w:rsid w:val="00093DCE"/>
    <w:rsid w:val="00095202"/>
    <w:rsid w:val="00095B1D"/>
    <w:rsid w:val="000A23C2"/>
    <w:rsid w:val="000A4C54"/>
    <w:rsid w:val="000A6ACF"/>
    <w:rsid w:val="000A7719"/>
    <w:rsid w:val="000B15B3"/>
    <w:rsid w:val="000B1A92"/>
    <w:rsid w:val="000B2EB0"/>
    <w:rsid w:val="000B305C"/>
    <w:rsid w:val="000B433D"/>
    <w:rsid w:val="000B5474"/>
    <w:rsid w:val="000C0992"/>
    <w:rsid w:val="000C1488"/>
    <w:rsid w:val="000C389C"/>
    <w:rsid w:val="000C40DD"/>
    <w:rsid w:val="000C6D86"/>
    <w:rsid w:val="000C752E"/>
    <w:rsid w:val="000C7998"/>
    <w:rsid w:val="000D05D4"/>
    <w:rsid w:val="000D5247"/>
    <w:rsid w:val="000D53BB"/>
    <w:rsid w:val="000D58D4"/>
    <w:rsid w:val="000D5964"/>
    <w:rsid w:val="000E0126"/>
    <w:rsid w:val="000E096B"/>
    <w:rsid w:val="000E1051"/>
    <w:rsid w:val="000E18F5"/>
    <w:rsid w:val="000E2BEB"/>
    <w:rsid w:val="000E331B"/>
    <w:rsid w:val="000E44CF"/>
    <w:rsid w:val="000E4E60"/>
    <w:rsid w:val="000E51BC"/>
    <w:rsid w:val="000F0D45"/>
    <w:rsid w:val="000F3B0D"/>
    <w:rsid w:val="000F5B72"/>
    <w:rsid w:val="000F7521"/>
    <w:rsid w:val="000F7637"/>
    <w:rsid w:val="00105706"/>
    <w:rsid w:val="00106C5D"/>
    <w:rsid w:val="00106F35"/>
    <w:rsid w:val="00110228"/>
    <w:rsid w:val="00111485"/>
    <w:rsid w:val="00114287"/>
    <w:rsid w:val="00116679"/>
    <w:rsid w:val="0011699C"/>
    <w:rsid w:val="0012128D"/>
    <w:rsid w:val="001215E8"/>
    <w:rsid w:val="0012270E"/>
    <w:rsid w:val="00123055"/>
    <w:rsid w:val="00123E50"/>
    <w:rsid w:val="00125963"/>
    <w:rsid w:val="001276D7"/>
    <w:rsid w:val="001308EC"/>
    <w:rsid w:val="00132BFF"/>
    <w:rsid w:val="00132F39"/>
    <w:rsid w:val="00133F94"/>
    <w:rsid w:val="001344B1"/>
    <w:rsid w:val="0013520D"/>
    <w:rsid w:val="00135629"/>
    <w:rsid w:val="00135C11"/>
    <w:rsid w:val="001363C8"/>
    <w:rsid w:val="00136638"/>
    <w:rsid w:val="00136A33"/>
    <w:rsid w:val="0013700E"/>
    <w:rsid w:val="00137CC9"/>
    <w:rsid w:val="00140215"/>
    <w:rsid w:val="001419F6"/>
    <w:rsid w:val="00143390"/>
    <w:rsid w:val="0014450D"/>
    <w:rsid w:val="00146326"/>
    <w:rsid w:val="001465B3"/>
    <w:rsid w:val="00146643"/>
    <w:rsid w:val="00147B39"/>
    <w:rsid w:val="00155A45"/>
    <w:rsid w:val="00156340"/>
    <w:rsid w:val="0015643A"/>
    <w:rsid w:val="00160B04"/>
    <w:rsid w:val="00164077"/>
    <w:rsid w:val="00165036"/>
    <w:rsid w:val="0016542F"/>
    <w:rsid w:val="00170D0A"/>
    <w:rsid w:val="00172718"/>
    <w:rsid w:val="00172E04"/>
    <w:rsid w:val="001750EF"/>
    <w:rsid w:val="0017575A"/>
    <w:rsid w:val="00177E0E"/>
    <w:rsid w:val="0018022D"/>
    <w:rsid w:val="001822E4"/>
    <w:rsid w:val="00183002"/>
    <w:rsid w:val="00185006"/>
    <w:rsid w:val="001863AD"/>
    <w:rsid w:val="00186D94"/>
    <w:rsid w:val="00186E2D"/>
    <w:rsid w:val="00186ECC"/>
    <w:rsid w:val="0018757B"/>
    <w:rsid w:val="001900BB"/>
    <w:rsid w:val="001930F4"/>
    <w:rsid w:val="0019370A"/>
    <w:rsid w:val="00193EFC"/>
    <w:rsid w:val="001949DB"/>
    <w:rsid w:val="001960D3"/>
    <w:rsid w:val="0019671F"/>
    <w:rsid w:val="00196AA4"/>
    <w:rsid w:val="001A08B3"/>
    <w:rsid w:val="001A1069"/>
    <w:rsid w:val="001A1E7E"/>
    <w:rsid w:val="001A3145"/>
    <w:rsid w:val="001A4258"/>
    <w:rsid w:val="001A48FA"/>
    <w:rsid w:val="001A562E"/>
    <w:rsid w:val="001A7881"/>
    <w:rsid w:val="001A7BB4"/>
    <w:rsid w:val="001B2A9B"/>
    <w:rsid w:val="001B43FB"/>
    <w:rsid w:val="001B4525"/>
    <w:rsid w:val="001B5285"/>
    <w:rsid w:val="001B58A3"/>
    <w:rsid w:val="001B67F6"/>
    <w:rsid w:val="001B6E3A"/>
    <w:rsid w:val="001C08E8"/>
    <w:rsid w:val="001C09BA"/>
    <w:rsid w:val="001C1689"/>
    <w:rsid w:val="001C2469"/>
    <w:rsid w:val="001C3FA3"/>
    <w:rsid w:val="001C4A5D"/>
    <w:rsid w:val="001C630F"/>
    <w:rsid w:val="001C6D00"/>
    <w:rsid w:val="001D10E1"/>
    <w:rsid w:val="001D3761"/>
    <w:rsid w:val="001D5AAC"/>
    <w:rsid w:val="001D69A1"/>
    <w:rsid w:val="001E4B4C"/>
    <w:rsid w:val="001E4CF8"/>
    <w:rsid w:val="001E5564"/>
    <w:rsid w:val="001E7BBF"/>
    <w:rsid w:val="001F0FE1"/>
    <w:rsid w:val="001F17AC"/>
    <w:rsid w:val="001F34A9"/>
    <w:rsid w:val="001F4586"/>
    <w:rsid w:val="001F481F"/>
    <w:rsid w:val="001F4E83"/>
    <w:rsid w:val="001F6220"/>
    <w:rsid w:val="001F6DC7"/>
    <w:rsid w:val="001F78E6"/>
    <w:rsid w:val="00202E22"/>
    <w:rsid w:val="00203075"/>
    <w:rsid w:val="002031ED"/>
    <w:rsid w:val="00203D03"/>
    <w:rsid w:val="00204387"/>
    <w:rsid w:val="00204C02"/>
    <w:rsid w:val="00205408"/>
    <w:rsid w:val="0020556D"/>
    <w:rsid w:val="002070FB"/>
    <w:rsid w:val="00214397"/>
    <w:rsid w:val="00214818"/>
    <w:rsid w:val="002173BC"/>
    <w:rsid w:val="0022026A"/>
    <w:rsid w:val="0022155F"/>
    <w:rsid w:val="00223E40"/>
    <w:rsid w:val="00226E58"/>
    <w:rsid w:val="002309A3"/>
    <w:rsid w:val="0023403A"/>
    <w:rsid w:val="0023454C"/>
    <w:rsid w:val="00234EA9"/>
    <w:rsid w:val="0023679C"/>
    <w:rsid w:val="0023686E"/>
    <w:rsid w:val="00237EA2"/>
    <w:rsid w:val="002404E7"/>
    <w:rsid w:val="002407AE"/>
    <w:rsid w:val="00240A8F"/>
    <w:rsid w:val="0024110F"/>
    <w:rsid w:val="00243199"/>
    <w:rsid w:val="002442CA"/>
    <w:rsid w:val="00244743"/>
    <w:rsid w:val="002449B3"/>
    <w:rsid w:val="00246096"/>
    <w:rsid w:val="002460B3"/>
    <w:rsid w:val="00250073"/>
    <w:rsid w:val="00251CA0"/>
    <w:rsid w:val="00251D0D"/>
    <w:rsid w:val="00252A3E"/>
    <w:rsid w:val="0025400C"/>
    <w:rsid w:val="0025521B"/>
    <w:rsid w:val="002553FC"/>
    <w:rsid w:val="002557CB"/>
    <w:rsid w:val="00255D07"/>
    <w:rsid w:val="00256977"/>
    <w:rsid w:val="00257FB5"/>
    <w:rsid w:val="0026050F"/>
    <w:rsid w:val="00261C28"/>
    <w:rsid w:val="00261E36"/>
    <w:rsid w:val="0026241F"/>
    <w:rsid w:val="00265D48"/>
    <w:rsid w:val="0026621D"/>
    <w:rsid w:val="00271485"/>
    <w:rsid w:val="00271A94"/>
    <w:rsid w:val="0027582B"/>
    <w:rsid w:val="002759CB"/>
    <w:rsid w:val="00277F7C"/>
    <w:rsid w:val="0028134E"/>
    <w:rsid w:val="00284E24"/>
    <w:rsid w:val="00290790"/>
    <w:rsid w:val="002913E5"/>
    <w:rsid w:val="00292B80"/>
    <w:rsid w:val="0029321B"/>
    <w:rsid w:val="00293A2B"/>
    <w:rsid w:val="00293D17"/>
    <w:rsid w:val="00294043"/>
    <w:rsid w:val="0029672D"/>
    <w:rsid w:val="002A3050"/>
    <w:rsid w:val="002A34B6"/>
    <w:rsid w:val="002B0C4D"/>
    <w:rsid w:val="002B0F02"/>
    <w:rsid w:val="002B3D0F"/>
    <w:rsid w:val="002B3DDF"/>
    <w:rsid w:val="002B5935"/>
    <w:rsid w:val="002B6AA3"/>
    <w:rsid w:val="002B705B"/>
    <w:rsid w:val="002C02D0"/>
    <w:rsid w:val="002C0B29"/>
    <w:rsid w:val="002C2BBB"/>
    <w:rsid w:val="002C486C"/>
    <w:rsid w:val="002C6300"/>
    <w:rsid w:val="002C6774"/>
    <w:rsid w:val="002C6BDA"/>
    <w:rsid w:val="002C6BF3"/>
    <w:rsid w:val="002D2C33"/>
    <w:rsid w:val="002D3051"/>
    <w:rsid w:val="002D3B85"/>
    <w:rsid w:val="002D3FA4"/>
    <w:rsid w:val="002D4B3F"/>
    <w:rsid w:val="002D533A"/>
    <w:rsid w:val="002E2CE1"/>
    <w:rsid w:val="002E44FB"/>
    <w:rsid w:val="002E4813"/>
    <w:rsid w:val="002E49B1"/>
    <w:rsid w:val="002E4B4F"/>
    <w:rsid w:val="002E4D1B"/>
    <w:rsid w:val="002E4EF0"/>
    <w:rsid w:val="002E50D6"/>
    <w:rsid w:val="002E6865"/>
    <w:rsid w:val="002F3335"/>
    <w:rsid w:val="002F3A48"/>
    <w:rsid w:val="002F4348"/>
    <w:rsid w:val="002F5476"/>
    <w:rsid w:val="002F62BB"/>
    <w:rsid w:val="002F7425"/>
    <w:rsid w:val="002F7AC3"/>
    <w:rsid w:val="00300100"/>
    <w:rsid w:val="00300376"/>
    <w:rsid w:val="00300CD8"/>
    <w:rsid w:val="003024ED"/>
    <w:rsid w:val="0030270D"/>
    <w:rsid w:val="00302BC1"/>
    <w:rsid w:val="0030402C"/>
    <w:rsid w:val="0030713D"/>
    <w:rsid w:val="00310C12"/>
    <w:rsid w:val="00310F66"/>
    <w:rsid w:val="00311F9A"/>
    <w:rsid w:val="00315F60"/>
    <w:rsid w:val="00316628"/>
    <w:rsid w:val="00321BDE"/>
    <w:rsid w:val="00325141"/>
    <w:rsid w:val="0032768A"/>
    <w:rsid w:val="00331398"/>
    <w:rsid w:val="003322B2"/>
    <w:rsid w:val="00332C87"/>
    <w:rsid w:val="00334065"/>
    <w:rsid w:val="003357BC"/>
    <w:rsid w:val="00335DC2"/>
    <w:rsid w:val="00336226"/>
    <w:rsid w:val="00341115"/>
    <w:rsid w:val="0034246E"/>
    <w:rsid w:val="00343631"/>
    <w:rsid w:val="00345806"/>
    <w:rsid w:val="00347B0B"/>
    <w:rsid w:val="00347F76"/>
    <w:rsid w:val="003510C2"/>
    <w:rsid w:val="00351629"/>
    <w:rsid w:val="0035204E"/>
    <w:rsid w:val="00353A03"/>
    <w:rsid w:val="003545A7"/>
    <w:rsid w:val="0035733C"/>
    <w:rsid w:val="00357893"/>
    <w:rsid w:val="00357B2B"/>
    <w:rsid w:val="00360BE0"/>
    <w:rsid w:val="003613D0"/>
    <w:rsid w:val="00362872"/>
    <w:rsid w:val="003633E7"/>
    <w:rsid w:val="00363C7E"/>
    <w:rsid w:val="00364B7D"/>
    <w:rsid w:val="003660FB"/>
    <w:rsid w:val="00367C00"/>
    <w:rsid w:val="003706B4"/>
    <w:rsid w:val="003729B6"/>
    <w:rsid w:val="00373306"/>
    <w:rsid w:val="00373855"/>
    <w:rsid w:val="00374A31"/>
    <w:rsid w:val="0037630C"/>
    <w:rsid w:val="00377527"/>
    <w:rsid w:val="00382338"/>
    <w:rsid w:val="00382B4B"/>
    <w:rsid w:val="00382B94"/>
    <w:rsid w:val="00384BAC"/>
    <w:rsid w:val="0038752F"/>
    <w:rsid w:val="0039046A"/>
    <w:rsid w:val="003907D3"/>
    <w:rsid w:val="0039159B"/>
    <w:rsid w:val="003949C5"/>
    <w:rsid w:val="00395D60"/>
    <w:rsid w:val="003968D7"/>
    <w:rsid w:val="00396B75"/>
    <w:rsid w:val="0039782D"/>
    <w:rsid w:val="003A0FB7"/>
    <w:rsid w:val="003A24CB"/>
    <w:rsid w:val="003A3846"/>
    <w:rsid w:val="003A4B64"/>
    <w:rsid w:val="003A5CAD"/>
    <w:rsid w:val="003A6133"/>
    <w:rsid w:val="003A76AD"/>
    <w:rsid w:val="003B0C80"/>
    <w:rsid w:val="003B3FAE"/>
    <w:rsid w:val="003B4E19"/>
    <w:rsid w:val="003B4F32"/>
    <w:rsid w:val="003B54D6"/>
    <w:rsid w:val="003B5A9C"/>
    <w:rsid w:val="003B6F62"/>
    <w:rsid w:val="003B787A"/>
    <w:rsid w:val="003C0D5A"/>
    <w:rsid w:val="003C0EF4"/>
    <w:rsid w:val="003C21F3"/>
    <w:rsid w:val="003C58E1"/>
    <w:rsid w:val="003C753C"/>
    <w:rsid w:val="003D1643"/>
    <w:rsid w:val="003D3BA6"/>
    <w:rsid w:val="003D3F03"/>
    <w:rsid w:val="003D4799"/>
    <w:rsid w:val="003D4A24"/>
    <w:rsid w:val="003D662C"/>
    <w:rsid w:val="003D7C64"/>
    <w:rsid w:val="003D7E65"/>
    <w:rsid w:val="003E103B"/>
    <w:rsid w:val="003E1F30"/>
    <w:rsid w:val="003E25C4"/>
    <w:rsid w:val="003E2A43"/>
    <w:rsid w:val="003E3CB6"/>
    <w:rsid w:val="003E545D"/>
    <w:rsid w:val="003E59EE"/>
    <w:rsid w:val="003E5FC0"/>
    <w:rsid w:val="003E5FCA"/>
    <w:rsid w:val="003E7556"/>
    <w:rsid w:val="003F28B6"/>
    <w:rsid w:val="003F4045"/>
    <w:rsid w:val="003F580D"/>
    <w:rsid w:val="003F7E38"/>
    <w:rsid w:val="00402BBD"/>
    <w:rsid w:val="004033C7"/>
    <w:rsid w:val="00403B5A"/>
    <w:rsid w:val="00403F26"/>
    <w:rsid w:val="00404482"/>
    <w:rsid w:val="004064B5"/>
    <w:rsid w:val="004111B7"/>
    <w:rsid w:val="0041363F"/>
    <w:rsid w:val="0041380A"/>
    <w:rsid w:val="00414F3A"/>
    <w:rsid w:val="004150BF"/>
    <w:rsid w:val="00415B00"/>
    <w:rsid w:val="00416512"/>
    <w:rsid w:val="00416F3E"/>
    <w:rsid w:val="00416FF3"/>
    <w:rsid w:val="00417A52"/>
    <w:rsid w:val="004203D2"/>
    <w:rsid w:val="00422AE7"/>
    <w:rsid w:val="00424E78"/>
    <w:rsid w:val="00425B5A"/>
    <w:rsid w:val="00425F0A"/>
    <w:rsid w:val="00426687"/>
    <w:rsid w:val="004322F8"/>
    <w:rsid w:val="00432C48"/>
    <w:rsid w:val="004354E4"/>
    <w:rsid w:val="00436E17"/>
    <w:rsid w:val="004410EE"/>
    <w:rsid w:val="004448FC"/>
    <w:rsid w:val="00444EB0"/>
    <w:rsid w:val="00445DC2"/>
    <w:rsid w:val="0044614F"/>
    <w:rsid w:val="004468A4"/>
    <w:rsid w:val="00446FED"/>
    <w:rsid w:val="0044769F"/>
    <w:rsid w:val="004478B4"/>
    <w:rsid w:val="00447F51"/>
    <w:rsid w:val="0045176E"/>
    <w:rsid w:val="0045327D"/>
    <w:rsid w:val="00453766"/>
    <w:rsid w:val="004540C7"/>
    <w:rsid w:val="00455823"/>
    <w:rsid w:val="0045636A"/>
    <w:rsid w:val="004568D9"/>
    <w:rsid w:val="004600F2"/>
    <w:rsid w:val="00462323"/>
    <w:rsid w:val="00465520"/>
    <w:rsid w:val="0046560C"/>
    <w:rsid w:val="00465FBC"/>
    <w:rsid w:val="004666B2"/>
    <w:rsid w:val="004714C3"/>
    <w:rsid w:val="0047254A"/>
    <w:rsid w:val="0047639A"/>
    <w:rsid w:val="0048008C"/>
    <w:rsid w:val="00480102"/>
    <w:rsid w:val="004839D4"/>
    <w:rsid w:val="00484026"/>
    <w:rsid w:val="004842B7"/>
    <w:rsid w:val="004845C3"/>
    <w:rsid w:val="00487B48"/>
    <w:rsid w:val="004904C1"/>
    <w:rsid w:val="004905D2"/>
    <w:rsid w:val="00490798"/>
    <w:rsid w:val="00490DE6"/>
    <w:rsid w:val="00491945"/>
    <w:rsid w:val="00492A72"/>
    <w:rsid w:val="00493D1B"/>
    <w:rsid w:val="00494BBC"/>
    <w:rsid w:val="00495F4C"/>
    <w:rsid w:val="004A1CF0"/>
    <w:rsid w:val="004A4C34"/>
    <w:rsid w:val="004A6C81"/>
    <w:rsid w:val="004B0DA6"/>
    <w:rsid w:val="004B15C4"/>
    <w:rsid w:val="004B1B2C"/>
    <w:rsid w:val="004B3E45"/>
    <w:rsid w:val="004B4AAE"/>
    <w:rsid w:val="004B588D"/>
    <w:rsid w:val="004B7A90"/>
    <w:rsid w:val="004C296B"/>
    <w:rsid w:val="004C3128"/>
    <w:rsid w:val="004C440D"/>
    <w:rsid w:val="004C4F59"/>
    <w:rsid w:val="004C7E5A"/>
    <w:rsid w:val="004D1849"/>
    <w:rsid w:val="004D3710"/>
    <w:rsid w:val="004D5C69"/>
    <w:rsid w:val="004D5CF6"/>
    <w:rsid w:val="004D6926"/>
    <w:rsid w:val="004D7E89"/>
    <w:rsid w:val="004E0D7E"/>
    <w:rsid w:val="004E0F7B"/>
    <w:rsid w:val="004E1C6F"/>
    <w:rsid w:val="004E4AE1"/>
    <w:rsid w:val="004E602F"/>
    <w:rsid w:val="004F0096"/>
    <w:rsid w:val="004F047A"/>
    <w:rsid w:val="004F1210"/>
    <w:rsid w:val="004F20F7"/>
    <w:rsid w:val="004F23EE"/>
    <w:rsid w:val="004F6BB1"/>
    <w:rsid w:val="004F6F39"/>
    <w:rsid w:val="004F7B3F"/>
    <w:rsid w:val="00500457"/>
    <w:rsid w:val="00500EA1"/>
    <w:rsid w:val="00500F3F"/>
    <w:rsid w:val="005022BF"/>
    <w:rsid w:val="0050364B"/>
    <w:rsid w:val="00505130"/>
    <w:rsid w:val="005057E2"/>
    <w:rsid w:val="00505DD3"/>
    <w:rsid w:val="00510D22"/>
    <w:rsid w:val="00511A87"/>
    <w:rsid w:val="00512BAC"/>
    <w:rsid w:val="00512CF2"/>
    <w:rsid w:val="00513430"/>
    <w:rsid w:val="00513C41"/>
    <w:rsid w:val="00516639"/>
    <w:rsid w:val="00520012"/>
    <w:rsid w:val="0052181D"/>
    <w:rsid w:val="00522DD0"/>
    <w:rsid w:val="005239E4"/>
    <w:rsid w:val="005246BF"/>
    <w:rsid w:val="00524FD0"/>
    <w:rsid w:val="00526C29"/>
    <w:rsid w:val="0053059F"/>
    <w:rsid w:val="005305D8"/>
    <w:rsid w:val="0053302D"/>
    <w:rsid w:val="0053385A"/>
    <w:rsid w:val="00534053"/>
    <w:rsid w:val="0053535E"/>
    <w:rsid w:val="005376A2"/>
    <w:rsid w:val="00540E64"/>
    <w:rsid w:val="00541D2D"/>
    <w:rsid w:val="00542192"/>
    <w:rsid w:val="00543B14"/>
    <w:rsid w:val="0054413D"/>
    <w:rsid w:val="00546C3B"/>
    <w:rsid w:val="00547F99"/>
    <w:rsid w:val="00550547"/>
    <w:rsid w:val="005514E5"/>
    <w:rsid w:val="0055253E"/>
    <w:rsid w:val="0055316D"/>
    <w:rsid w:val="00554407"/>
    <w:rsid w:val="005602C9"/>
    <w:rsid w:val="00561646"/>
    <w:rsid w:val="00561665"/>
    <w:rsid w:val="00561E21"/>
    <w:rsid w:val="005634C2"/>
    <w:rsid w:val="005644A5"/>
    <w:rsid w:val="005668FB"/>
    <w:rsid w:val="00567656"/>
    <w:rsid w:val="005678AB"/>
    <w:rsid w:val="00570F1E"/>
    <w:rsid w:val="00573EB0"/>
    <w:rsid w:val="00575567"/>
    <w:rsid w:val="00575971"/>
    <w:rsid w:val="00576A31"/>
    <w:rsid w:val="005801D6"/>
    <w:rsid w:val="0058025F"/>
    <w:rsid w:val="0058353A"/>
    <w:rsid w:val="00584FAA"/>
    <w:rsid w:val="00585101"/>
    <w:rsid w:val="005852A9"/>
    <w:rsid w:val="00590CB6"/>
    <w:rsid w:val="005914F3"/>
    <w:rsid w:val="0059453C"/>
    <w:rsid w:val="005948A3"/>
    <w:rsid w:val="0059557C"/>
    <w:rsid w:val="005978B9"/>
    <w:rsid w:val="005A0A6E"/>
    <w:rsid w:val="005A11B0"/>
    <w:rsid w:val="005A39DE"/>
    <w:rsid w:val="005A3B33"/>
    <w:rsid w:val="005A5615"/>
    <w:rsid w:val="005A5A38"/>
    <w:rsid w:val="005A6012"/>
    <w:rsid w:val="005A64C5"/>
    <w:rsid w:val="005A78FB"/>
    <w:rsid w:val="005B257C"/>
    <w:rsid w:val="005B2B72"/>
    <w:rsid w:val="005B51B8"/>
    <w:rsid w:val="005B5709"/>
    <w:rsid w:val="005B5F83"/>
    <w:rsid w:val="005B63F4"/>
    <w:rsid w:val="005B6666"/>
    <w:rsid w:val="005B696A"/>
    <w:rsid w:val="005B757B"/>
    <w:rsid w:val="005C06E2"/>
    <w:rsid w:val="005C0C84"/>
    <w:rsid w:val="005C69DA"/>
    <w:rsid w:val="005D49DB"/>
    <w:rsid w:val="005D5219"/>
    <w:rsid w:val="005D56AF"/>
    <w:rsid w:val="005D5EE1"/>
    <w:rsid w:val="005D7813"/>
    <w:rsid w:val="005E33AF"/>
    <w:rsid w:val="005E43A0"/>
    <w:rsid w:val="005E5897"/>
    <w:rsid w:val="005E6A8A"/>
    <w:rsid w:val="005F018D"/>
    <w:rsid w:val="005F0B38"/>
    <w:rsid w:val="005F1BAF"/>
    <w:rsid w:val="005F3BA3"/>
    <w:rsid w:val="005F48B4"/>
    <w:rsid w:val="005F4CA3"/>
    <w:rsid w:val="005F68B0"/>
    <w:rsid w:val="005F6A62"/>
    <w:rsid w:val="005F7051"/>
    <w:rsid w:val="00601C8F"/>
    <w:rsid w:val="00602B07"/>
    <w:rsid w:val="00602BBF"/>
    <w:rsid w:val="00602BE7"/>
    <w:rsid w:val="00603A56"/>
    <w:rsid w:val="00603B11"/>
    <w:rsid w:val="00603B87"/>
    <w:rsid w:val="00604053"/>
    <w:rsid w:val="00604191"/>
    <w:rsid w:val="00604367"/>
    <w:rsid w:val="00605D78"/>
    <w:rsid w:val="00605F98"/>
    <w:rsid w:val="0061057D"/>
    <w:rsid w:val="00610D26"/>
    <w:rsid w:val="0061183B"/>
    <w:rsid w:val="00611AFA"/>
    <w:rsid w:val="006142D5"/>
    <w:rsid w:val="00614C74"/>
    <w:rsid w:val="00616F48"/>
    <w:rsid w:val="006215AF"/>
    <w:rsid w:val="006216E3"/>
    <w:rsid w:val="0062203E"/>
    <w:rsid w:val="00622099"/>
    <w:rsid w:val="00627C4D"/>
    <w:rsid w:val="00630352"/>
    <w:rsid w:val="0063183D"/>
    <w:rsid w:val="0063202D"/>
    <w:rsid w:val="00632D01"/>
    <w:rsid w:val="00633B3B"/>
    <w:rsid w:val="00635138"/>
    <w:rsid w:val="00636610"/>
    <w:rsid w:val="00637C44"/>
    <w:rsid w:val="00642315"/>
    <w:rsid w:val="00642D7A"/>
    <w:rsid w:val="0064346A"/>
    <w:rsid w:val="00646A86"/>
    <w:rsid w:val="00653F2C"/>
    <w:rsid w:val="006541D9"/>
    <w:rsid w:val="0065679B"/>
    <w:rsid w:val="006574A6"/>
    <w:rsid w:val="0066161C"/>
    <w:rsid w:val="00661F98"/>
    <w:rsid w:val="00662E5E"/>
    <w:rsid w:val="0066313F"/>
    <w:rsid w:val="00663801"/>
    <w:rsid w:val="006657ED"/>
    <w:rsid w:val="0067351B"/>
    <w:rsid w:val="00674AB7"/>
    <w:rsid w:val="006779E9"/>
    <w:rsid w:val="006812C6"/>
    <w:rsid w:val="006817BB"/>
    <w:rsid w:val="00684497"/>
    <w:rsid w:val="006848FA"/>
    <w:rsid w:val="00684BF1"/>
    <w:rsid w:val="006865CE"/>
    <w:rsid w:val="00687ED4"/>
    <w:rsid w:val="006914B5"/>
    <w:rsid w:val="00691617"/>
    <w:rsid w:val="00692414"/>
    <w:rsid w:val="00693D7C"/>
    <w:rsid w:val="006968B7"/>
    <w:rsid w:val="00697354"/>
    <w:rsid w:val="006A170F"/>
    <w:rsid w:val="006A2546"/>
    <w:rsid w:val="006A2DD6"/>
    <w:rsid w:val="006A3DAF"/>
    <w:rsid w:val="006A5DF1"/>
    <w:rsid w:val="006A60EA"/>
    <w:rsid w:val="006A77B8"/>
    <w:rsid w:val="006B1D8E"/>
    <w:rsid w:val="006B223B"/>
    <w:rsid w:val="006B245B"/>
    <w:rsid w:val="006B3A26"/>
    <w:rsid w:val="006B5546"/>
    <w:rsid w:val="006B5654"/>
    <w:rsid w:val="006B7330"/>
    <w:rsid w:val="006C0BF6"/>
    <w:rsid w:val="006C5897"/>
    <w:rsid w:val="006C65B6"/>
    <w:rsid w:val="006D07F8"/>
    <w:rsid w:val="006D3F0B"/>
    <w:rsid w:val="006D3F63"/>
    <w:rsid w:val="006D4EA5"/>
    <w:rsid w:val="006D758C"/>
    <w:rsid w:val="006D75C3"/>
    <w:rsid w:val="006D791E"/>
    <w:rsid w:val="006E0A76"/>
    <w:rsid w:val="006E3E53"/>
    <w:rsid w:val="006E4FCA"/>
    <w:rsid w:val="006E5C5A"/>
    <w:rsid w:val="006E6206"/>
    <w:rsid w:val="006E68ED"/>
    <w:rsid w:val="006F0692"/>
    <w:rsid w:val="006F0C44"/>
    <w:rsid w:val="006F1ECE"/>
    <w:rsid w:val="006F2A44"/>
    <w:rsid w:val="006F35E3"/>
    <w:rsid w:val="0070097C"/>
    <w:rsid w:val="00700F8C"/>
    <w:rsid w:val="00703032"/>
    <w:rsid w:val="007053F8"/>
    <w:rsid w:val="00706028"/>
    <w:rsid w:val="00707CBA"/>
    <w:rsid w:val="00707F95"/>
    <w:rsid w:val="007113AC"/>
    <w:rsid w:val="007119AF"/>
    <w:rsid w:val="007127C0"/>
    <w:rsid w:val="007145F5"/>
    <w:rsid w:val="0071547B"/>
    <w:rsid w:val="00716843"/>
    <w:rsid w:val="0071729A"/>
    <w:rsid w:val="0072119A"/>
    <w:rsid w:val="007218C0"/>
    <w:rsid w:val="007221B9"/>
    <w:rsid w:val="007223AB"/>
    <w:rsid w:val="007229CD"/>
    <w:rsid w:val="00723AF2"/>
    <w:rsid w:val="00725183"/>
    <w:rsid w:val="00726E1E"/>
    <w:rsid w:val="00727E16"/>
    <w:rsid w:val="00730125"/>
    <w:rsid w:val="00731676"/>
    <w:rsid w:val="00733A95"/>
    <w:rsid w:val="007347E2"/>
    <w:rsid w:val="00734F80"/>
    <w:rsid w:val="007354D1"/>
    <w:rsid w:val="00737387"/>
    <w:rsid w:val="0074006D"/>
    <w:rsid w:val="007410E6"/>
    <w:rsid w:val="00741209"/>
    <w:rsid w:val="00742A21"/>
    <w:rsid w:val="00743E3E"/>
    <w:rsid w:val="007453E8"/>
    <w:rsid w:val="007470C6"/>
    <w:rsid w:val="0075069C"/>
    <w:rsid w:val="0075274B"/>
    <w:rsid w:val="0075402C"/>
    <w:rsid w:val="0075575D"/>
    <w:rsid w:val="00755E1E"/>
    <w:rsid w:val="00757143"/>
    <w:rsid w:val="00757900"/>
    <w:rsid w:val="00760593"/>
    <w:rsid w:val="007620DD"/>
    <w:rsid w:val="00762916"/>
    <w:rsid w:val="00763216"/>
    <w:rsid w:val="0077046F"/>
    <w:rsid w:val="00770FA9"/>
    <w:rsid w:val="00772874"/>
    <w:rsid w:val="00780302"/>
    <w:rsid w:val="00780AC7"/>
    <w:rsid w:val="00782B78"/>
    <w:rsid w:val="007832E2"/>
    <w:rsid w:val="007855A1"/>
    <w:rsid w:val="00785F64"/>
    <w:rsid w:val="00786DE9"/>
    <w:rsid w:val="0078711A"/>
    <w:rsid w:val="007924B4"/>
    <w:rsid w:val="00794C59"/>
    <w:rsid w:val="00796A99"/>
    <w:rsid w:val="00797FCC"/>
    <w:rsid w:val="007A2845"/>
    <w:rsid w:val="007A2CCE"/>
    <w:rsid w:val="007A369A"/>
    <w:rsid w:val="007A3E5D"/>
    <w:rsid w:val="007A486C"/>
    <w:rsid w:val="007A4890"/>
    <w:rsid w:val="007A4B6C"/>
    <w:rsid w:val="007B0B2F"/>
    <w:rsid w:val="007B2250"/>
    <w:rsid w:val="007B35DD"/>
    <w:rsid w:val="007B4BB2"/>
    <w:rsid w:val="007B5407"/>
    <w:rsid w:val="007B6062"/>
    <w:rsid w:val="007B6584"/>
    <w:rsid w:val="007B6F12"/>
    <w:rsid w:val="007C24C1"/>
    <w:rsid w:val="007C259C"/>
    <w:rsid w:val="007C382D"/>
    <w:rsid w:val="007C5400"/>
    <w:rsid w:val="007C5CDC"/>
    <w:rsid w:val="007D09B5"/>
    <w:rsid w:val="007D0BC3"/>
    <w:rsid w:val="007D21B0"/>
    <w:rsid w:val="007D23BD"/>
    <w:rsid w:val="007D23F9"/>
    <w:rsid w:val="007D2C86"/>
    <w:rsid w:val="007D69A1"/>
    <w:rsid w:val="007D6C26"/>
    <w:rsid w:val="007D7AA0"/>
    <w:rsid w:val="007E1B4E"/>
    <w:rsid w:val="007E2610"/>
    <w:rsid w:val="007E33DB"/>
    <w:rsid w:val="007E446A"/>
    <w:rsid w:val="007E5998"/>
    <w:rsid w:val="007E7EE9"/>
    <w:rsid w:val="007F162C"/>
    <w:rsid w:val="007F5324"/>
    <w:rsid w:val="007F68D5"/>
    <w:rsid w:val="007F6E32"/>
    <w:rsid w:val="007F743B"/>
    <w:rsid w:val="007F767B"/>
    <w:rsid w:val="007F7A89"/>
    <w:rsid w:val="00801D74"/>
    <w:rsid w:val="00802AD9"/>
    <w:rsid w:val="00802E26"/>
    <w:rsid w:val="00803626"/>
    <w:rsid w:val="00807A1E"/>
    <w:rsid w:val="00810321"/>
    <w:rsid w:val="008139D2"/>
    <w:rsid w:val="00814328"/>
    <w:rsid w:val="00815E2E"/>
    <w:rsid w:val="00816778"/>
    <w:rsid w:val="00817581"/>
    <w:rsid w:val="00820A16"/>
    <w:rsid w:val="008261C3"/>
    <w:rsid w:val="008304A7"/>
    <w:rsid w:val="008316C0"/>
    <w:rsid w:val="00834109"/>
    <w:rsid w:val="00835F1E"/>
    <w:rsid w:val="008410AD"/>
    <w:rsid w:val="00841C40"/>
    <w:rsid w:val="00842B3F"/>
    <w:rsid w:val="00842FE1"/>
    <w:rsid w:val="008430B3"/>
    <w:rsid w:val="00845A33"/>
    <w:rsid w:val="00847F1C"/>
    <w:rsid w:val="0085075E"/>
    <w:rsid w:val="0085130D"/>
    <w:rsid w:val="00853960"/>
    <w:rsid w:val="00854552"/>
    <w:rsid w:val="00855BF2"/>
    <w:rsid w:val="00856B20"/>
    <w:rsid w:val="00861D40"/>
    <w:rsid w:val="00861E93"/>
    <w:rsid w:val="00862E42"/>
    <w:rsid w:val="00864076"/>
    <w:rsid w:val="0086576F"/>
    <w:rsid w:val="008668DF"/>
    <w:rsid w:val="0086782B"/>
    <w:rsid w:val="00867C7A"/>
    <w:rsid w:val="00870AF3"/>
    <w:rsid w:val="00877F5F"/>
    <w:rsid w:val="00880550"/>
    <w:rsid w:val="0088356A"/>
    <w:rsid w:val="00883D16"/>
    <w:rsid w:val="00884611"/>
    <w:rsid w:val="00884B1F"/>
    <w:rsid w:val="00885428"/>
    <w:rsid w:val="008873E6"/>
    <w:rsid w:val="00892A37"/>
    <w:rsid w:val="0089306E"/>
    <w:rsid w:val="008952D0"/>
    <w:rsid w:val="008954DD"/>
    <w:rsid w:val="00896AAE"/>
    <w:rsid w:val="008A0422"/>
    <w:rsid w:val="008A1A4D"/>
    <w:rsid w:val="008A21F5"/>
    <w:rsid w:val="008A28E7"/>
    <w:rsid w:val="008A2C47"/>
    <w:rsid w:val="008B20E5"/>
    <w:rsid w:val="008B2D2F"/>
    <w:rsid w:val="008B3888"/>
    <w:rsid w:val="008B3FCF"/>
    <w:rsid w:val="008B69CA"/>
    <w:rsid w:val="008B7882"/>
    <w:rsid w:val="008B7C4D"/>
    <w:rsid w:val="008C2BF5"/>
    <w:rsid w:val="008C6462"/>
    <w:rsid w:val="008D0973"/>
    <w:rsid w:val="008D4447"/>
    <w:rsid w:val="008D6FC2"/>
    <w:rsid w:val="008E0D4F"/>
    <w:rsid w:val="008E23ED"/>
    <w:rsid w:val="008E547F"/>
    <w:rsid w:val="008E63CA"/>
    <w:rsid w:val="008F0F5A"/>
    <w:rsid w:val="008F0FAC"/>
    <w:rsid w:val="008F1EA7"/>
    <w:rsid w:val="008F2C28"/>
    <w:rsid w:val="008F3238"/>
    <w:rsid w:val="008F3973"/>
    <w:rsid w:val="008F44DC"/>
    <w:rsid w:val="008F4B74"/>
    <w:rsid w:val="008F613D"/>
    <w:rsid w:val="008F721F"/>
    <w:rsid w:val="009002E8"/>
    <w:rsid w:val="00900687"/>
    <w:rsid w:val="0090583A"/>
    <w:rsid w:val="00906EFC"/>
    <w:rsid w:val="0090732C"/>
    <w:rsid w:val="00907D08"/>
    <w:rsid w:val="00911B73"/>
    <w:rsid w:val="00913DF7"/>
    <w:rsid w:val="009145D7"/>
    <w:rsid w:val="0091461E"/>
    <w:rsid w:val="009154B5"/>
    <w:rsid w:val="00915DD6"/>
    <w:rsid w:val="0091617B"/>
    <w:rsid w:val="0091649E"/>
    <w:rsid w:val="009172B3"/>
    <w:rsid w:val="009172B4"/>
    <w:rsid w:val="0092059E"/>
    <w:rsid w:val="0092139F"/>
    <w:rsid w:val="009213F7"/>
    <w:rsid w:val="00923720"/>
    <w:rsid w:val="00924173"/>
    <w:rsid w:val="00924934"/>
    <w:rsid w:val="00924992"/>
    <w:rsid w:val="009264A8"/>
    <w:rsid w:val="009278BA"/>
    <w:rsid w:val="00927B09"/>
    <w:rsid w:val="00931282"/>
    <w:rsid w:val="00931E57"/>
    <w:rsid w:val="00933291"/>
    <w:rsid w:val="0093333D"/>
    <w:rsid w:val="009363F8"/>
    <w:rsid w:val="0093668F"/>
    <w:rsid w:val="00936802"/>
    <w:rsid w:val="009409A6"/>
    <w:rsid w:val="0094544F"/>
    <w:rsid w:val="0094678A"/>
    <w:rsid w:val="00950353"/>
    <w:rsid w:val="009505F5"/>
    <w:rsid w:val="009513BE"/>
    <w:rsid w:val="009530D8"/>
    <w:rsid w:val="00956011"/>
    <w:rsid w:val="00956ED4"/>
    <w:rsid w:val="00957757"/>
    <w:rsid w:val="00960F5E"/>
    <w:rsid w:val="009637E3"/>
    <w:rsid w:val="009641C9"/>
    <w:rsid w:val="0096457B"/>
    <w:rsid w:val="00965A94"/>
    <w:rsid w:val="00967A32"/>
    <w:rsid w:val="009702F2"/>
    <w:rsid w:val="00970EBB"/>
    <w:rsid w:val="009712CE"/>
    <w:rsid w:val="00972947"/>
    <w:rsid w:val="009732D3"/>
    <w:rsid w:val="00973D2D"/>
    <w:rsid w:val="00973F5F"/>
    <w:rsid w:val="009750AC"/>
    <w:rsid w:val="00976063"/>
    <w:rsid w:val="00976A79"/>
    <w:rsid w:val="009805BB"/>
    <w:rsid w:val="009843EC"/>
    <w:rsid w:val="00984506"/>
    <w:rsid w:val="00992643"/>
    <w:rsid w:val="0099343F"/>
    <w:rsid w:val="00995362"/>
    <w:rsid w:val="009964D2"/>
    <w:rsid w:val="0099667C"/>
    <w:rsid w:val="00996920"/>
    <w:rsid w:val="009A083A"/>
    <w:rsid w:val="009A0BC5"/>
    <w:rsid w:val="009A0FE2"/>
    <w:rsid w:val="009A21F9"/>
    <w:rsid w:val="009A4A12"/>
    <w:rsid w:val="009A648A"/>
    <w:rsid w:val="009B13CC"/>
    <w:rsid w:val="009B2089"/>
    <w:rsid w:val="009B5DFB"/>
    <w:rsid w:val="009B6F86"/>
    <w:rsid w:val="009B73A5"/>
    <w:rsid w:val="009C0F53"/>
    <w:rsid w:val="009C1023"/>
    <w:rsid w:val="009C1EDB"/>
    <w:rsid w:val="009C22FC"/>
    <w:rsid w:val="009C4027"/>
    <w:rsid w:val="009C425E"/>
    <w:rsid w:val="009C557D"/>
    <w:rsid w:val="009C56BE"/>
    <w:rsid w:val="009C76DF"/>
    <w:rsid w:val="009D0A56"/>
    <w:rsid w:val="009D1611"/>
    <w:rsid w:val="009D40B3"/>
    <w:rsid w:val="009D48C1"/>
    <w:rsid w:val="009D5002"/>
    <w:rsid w:val="009D7EDE"/>
    <w:rsid w:val="009E0AA8"/>
    <w:rsid w:val="009E1A68"/>
    <w:rsid w:val="009E243E"/>
    <w:rsid w:val="009E3373"/>
    <w:rsid w:val="009E4E2F"/>
    <w:rsid w:val="009E5124"/>
    <w:rsid w:val="009E5E46"/>
    <w:rsid w:val="009E651D"/>
    <w:rsid w:val="009E6DD9"/>
    <w:rsid w:val="009E6F7D"/>
    <w:rsid w:val="009F4442"/>
    <w:rsid w:val="009F4F53"/>
    <w:rsid w:val="009F5380"/>
    <w:rsid w:val="009F686B"/>
    <w:rsid w:val="009F69B8"/>
    <w:rsid w:val="00A00390"/>
    <w:rsid w:val="00A0158F"/>
    <w:rsid w:val="00A02C43"/>
    <w:rsid w:val="00A03C74"/>
    <w:rsid w:val="00A05797"/>
    <w:rsid w:val="00A105A1"/>
    <w:rsid w:val="00A10782"/>
    <w:rsid w:val="00A11738"/>
    <w:rsid w:val="00A11B78"/>
    <w:rsid w:val="00A12768"/>
    <w:rsid w:val="00A12AED"/>
    <w:rsid w:val="00A12D62"/>
    <w:rsid w:val="00A13949"/>
    <w:rsid w:val="00A16B89"/>
    <w:rsid w:val="00A178F3"/>
    <w:rsid w:val="00A20C2F"/>
    <w:rsid w:val="00A22D24"/>
    <w:rsid w:val="00A25142"/>
    <w:rsid w:val="00A302A6"/>
    <w:rsid w:val="00A3075C"/>
    <w:rsid w:val="00A34B8B"/>
    <w:rsid w:val="00A36811"/>
    <w:rsid w:val="00A41C1B"/>
    <w:rsid w:val="00A42366"/>
    <w:rsid w:val="00A4249C"/>
    <w:rsid w:val="00A427E0"/>
    <w:rsid w:val="00A50A28"/>
    <w:rsid w:val="00A52B61"/>
    <w:rsid w:val="00A52B9B"/>
    <w:rsid w:val="00A53C6F"/>
    <w:rsid w:val="00A53E36"/>
    <w:rsid w:val="00A55D4A"/>
    <w:rsid w:val="00A566BD"/>
    <w:rsid w:val="00A570BE"/>
    <w:rsid w:val="00A62224"/>
    <w:rsid w:val="00A62823"/>
    <w:rsid w:val="00A63203"/>
    <w:rsid w:val="00A65379"/>
    <w:rsid w:val="00A65901"/>
    <w:rsid w:val="00A66BC9"/>
    <w:rsid w:val="00A67258"/>
    <w:rsid w:val="00A7062F"/>
    <w:rsid w:val="00A70FBA"/>
    <w:rsid w:val="00A721F1"/>
    <w:rsid w:val="00A72B40"/>
    <w:rsid w:val="00A75159"/>
    <w:rsid w:val="00A77C74"/>
    <w:rsid w:val="00A80238"/>
    <w:rsid w:val="00A80CD9"/>
    <w:rsid w:val="00A81E07"/>
    <w:rsid w:val="00A81F79"/>
    <w:rsid w:val="00A82824"/>
    <w:rsid w:val="00A838EE"/>
    <w:rsid w:val="00A84B80"/>
    <w:rsid w:val="00A860C5"/>
    <w:rsid w:val="00A878F1"/>
    <w:rsid w:val="00A91C11"/>
    <w:rsid w:val="00A92D3C"/>
    <w:rsid w:val="00A933F3"/>
    <w:rsid w:val="00A93F73"/>
    <w:rsid w:val="00A9765E"/>
    <w:rsid w:val="00A979DE"/>
    <w:rsid w:val="00AA0D9B"/>
    <w:rsid w:val="00AA1088"/>
    <w:rsid w:val="00AA16AA"/>
    <w:rsid w:val="00AA1D50"/>
    <w:rsid w:val="00AA34EE"/>
    <w:rsid w:val="00AA45E7"/>
    <w:rsid w:val="00AA60E4"/>
    <w:rsid w:val="00AA743F"/>
    <w:rsid w:val="00AB00A9"/>
    <w:rsid w:val="00AB082E"/>
    <w:rsid w:val="00AB0CEA"/>
    <w:rsid w:val="00AB195C"/>
    <w:rsid w:val="00AB2AFF"/>
    <w:rsid w:val="00AB3148"/>
    <w:rsid w:val="00AB3F75"/>
    <w:rsid w:val="00AB50F3"/>
    <w:rsid w:val="00AB59E1"/>
    <w:rsid w:val="00AB627A"/>
    <w:rsid w:val="00AB6C89"/>
    <w:rsid w:val="00AB799C"/>
    <w:rsid w:val="00AC3A1E"/>
    <w:rsid w:val="00AC5A64"/>
    <w:rsid w:val="00AC6152"/>
    <w:rsid w:val="00AC79F4"/>
    <w:rsid w:val="00AD16C1"/>
    <w:rsid w:val="00AD20CE"/>
    <w:rsid w:val="00AD43D2"/>
    <w:rsid w:val="00AD52DD"/>
    <w:rsid w:val="00AD7BB8"/>
    <w:rsid w:val="00AE0F22"/>
    <w:rsid w:val="00AE16EB"/>
    <w:rsid w:val="00AE2EA1"/>
    <w:rsid w:val="00AE587D"/>
    <w:rsid w:val="00AE6C31"/>
    <w:rsid w:val="00AF0473"/>
    <w:rsid w:val="00AF0C1B"/>
    <w:rsid w:val="00AF2B13"/>
    <w:rsid w:val="00AF401F"/>
    <w:rsid w:val="00AF78C5"/>
    <w:rsid w:val="00AF7C1F"/>
    <w:rsid w:val="00B01B12"/>
    <w:rsid w:val="00B02D6A"/>
    <w:rsid w:val="00B044E1"/>
    <w:rsid w:val="00B0468E"/>
    <w:rsid w:val="00B04A62"/>
    <w:rsid w:val="00B06268"/>
    <w:rsid w:val="00B06341"/>
    <w:rsid w:val="00B063FE"/>
    <w:rsid w:val="00B07B2B"/>
    <w:rsid w:val="00B11842"/>
    <w:rsid w:val="00B12289"/>
    <w:rsid w:val="00B13A34"/>
    <w:rsid w:val="00B168FE"/>
    <w:rsid w:val="00B23D97"/>
    <w:rsid w:val="00B25B87"/>
    <w:rsid w:val="00B2665E"/>
    <w:rsid w:val="00B27CF4"/>
    <w:rsid w:val="00B30E5A"/>
    <w:rsid w:val="00B3139C"/>
    <w:rsid w:val="00B3374E"/>
    <w:rsid w:val="00B373BD"/>
    <w:rsid w:val="00B37A08"/>
    <w:rsid w:val="00B4151D"/>
    <w:rsid w:val="00B473A2"/>
    <w:rsid w:val="00B47775"/>
    <w:rsid w:val="00B47EED"/>
    <w:rsid w:val="00B50D27"/>
    <w:rsid w:val="00B51B09"/>
    <w:rsid w:val="00B5359F"/>
    <w:rsid w:val="00B54E58"/>
    <w:rsid w:val="00B6057A"/>
    <w:rsid w:val="00B606D2"/>
    <w:rsid w:val="00B612C7"/>
    <w:rsid w:val="00B6131B"/>
    <w:rsid w:val="00B636F2"/>
    <w:rsid w:val="00B63C7E"/>
    <w:rsid w:val="00B6431C"/>
    <w:rsid w:val="00B64797"/>
    <w:rsid w:val="00B67E3D"/>
    <w:rsid w:val="00B72059"/>
    <w:rsid w:val="00B72EF6"/>
    <w:rsid w:val="00B736F3"/>
    <w:rsid w:val="00B74484"/>
    <w:rsid w:val="00B74B42"/>
    <w:rsid w:val="00B76E42"/>
    <w:rsid w:val="00B8317D"/>
    <w:rsid w:val="00B83631"/>
    <w:rsid w:val="00B83759"/>
    <w:rsid w:val="00B84070"/>
    <w:rsid w:val="00B84702"/>
    <w:rsid w:val="00B85537"/>
    <w:rsid w:val="00B920F9"/>
    <w:rsid w:val="00B92B0A"/>
    <w:rsid w:val="00B92DC6"/>
    <w:rsid w:val="00B92FEF"/>
    <w:rsid w:val="00B933A1"/>
    <w:rsid w:val="00B95F51"/>
    <w:rsid w:val="00BA1851"/>
    <w:rsid w:val="00BA2865"/>
    <w:rsid w:val="00BA378E"/>
    <w:rsid w:val="00BA50E3"/>
    <w:rsid w:val="00BA6349"/>
    <w:rsid w:val="00BA7823"/>
    <w:rsid w:val="00BA7FB2"/>
    <w:rsid w:val="00BB12CF"/>
    <w:rsid w:val="00BB1760"/>
    <w:rsid w:val="00BB19CA"/>
    <w:rsid w:val="00BB360B"/>
    <w:rsid w:val="00BB4360"/>
    <w:rsid w:val="00BB4E60"/>
    <w:rsid w:val="00BB585A"/>
    <w:rsid w:val="00BB7C0B"/>
    <w:rsid w:val="00BC0726"/>
    <w:rsid w:val="00BC0DEF"/>
    <w:rsid w:val="00BC33CF"/>
    <w:rsid w:val="00BC47F5"/>
    <w:rsid w:val="00BC5BA0"/>
    <w:rsid w:val="00BC5BFF"/>
    <w:rsid w:val="00BD0A05"/>
    <w:rsid w:val="00BD113A"/>
    <w:rsid w:val="00BD2634"/>
    <w:rsid w:val="00BD4B48"/>
    <w:rsid w:val="00BD5AAB"/>
    <w:rsid w:val="00BD6926"/>
    <w:rsid w:val="00BD7676"/>
    <w:rsid w:val="00BD7E23"/>
    <w:rsid w:val="00BE31D4"/>
    <w:rsid w:val="00BE3941"/>
    <w:rsid w:val="00BE45E4"/>
    <w:rsid w:val="00BE65B3"/>
    <w:rsid w:val="00BF1AA6"/>
    <w:rsid w:val="00BF1D01"/>
    <w:rsid w:val="00BF435E"/>
    <w:rsid w:val="00BF4BB7"/>
    <w:rsid w:val="00BF4C05"/>
    <w:rsid w:val="00C009CE"/>
    <w:rsid w:val="00C0103F"/>
    <w:rsid w:val="00C03E0B"/>
    <w:rsid w:val="00C05CF0"/>
    <w:rsid w:val="00C05D7E"/>
    <w:rsid w:val="00C0661C"/>
    <w:rsid w:val="00C06CBB"/>
    <w:rsid w:val="00C1104B"/>
    <w:rsid w:val="00C11E9B"/>
    <w:rsid w:val="00C1205F"/>
    <w:rsid w:val="00C126BA"/>
    <w:rsid w:val="00C12BB9"/>
    <w:rsid w:val="00C15687"/>
    <w:rsid w:val="00C1598D"/>
    <w:rsid w:val="00C16218"/>
    <w:rsid w:val="00C169DD"/>
    <w:rsid w:val="00C17DD4"/>
    <w:rsid w:val="00C21185"/>
    <w:rsid w:val="00C22FA9"/>
    <w:rsid w:val="00C24950"/>
    <w:rsid w:val="00C257BB"/>
    <w:rsid w:val="00C300F1"/>
    <w:rsid w:val="00C30CD1"/>
    <w:rsid w:val="00C313D0"/>
    <w:rsid w:val="00C34F4A"/>
    <w:rsid w:val="00C35E33"/>
    <w:rsid w:val="00C36360"/>
    <w:rsid w:val="00C378E3"/>
    <w:rsid w:val="00C40722"/>
    <w:rsid w:val="00C4155E"/>
    <w:rsid w:val="00C42211"/>
    <w:rsid w:val="00C43D2F"/>
    <w:rsid w:val="00C43DCD"/>
    <w:rsid w:val="00C43F00"/>
    <w:rsid w:val="00C44021"/>
    <w:rsid w:val="00C45626"/>
    <w:rsid w:val="00C47849"/>
    <w:rsid w:val="00C47C79"/>
    <w:rsid w:val="00C514C0"/>
    <w:rsid w:val="00C52559"/>
    <w:rsid w:val="00C527A0"/>
    <w:rsid w:val="00C534FB"/>
    <w:rsid w:val="00C53F2F"/>
    <w:rsid w:val="00C54F32"/>
    <w:rsid w:val="00C55EDA"/>
    <w:rsid w:val="00C565EC"/>
    <w:rsid w:val="00C57F5C"/>
    <w:rsid w:val="00C61898"/>
    <w:rsid w:val="00C6239C"/>
    <w:rsid w:val="00C657DF"/>
    <w:rsid w:val="00C66435"/>
    <w:rsid w:val="00C67842"/>
    <w:rsid w:val="00C70D34"/>
    <w:rsid w:val="00C70E10"/>
    <w:rsid w:val="00C76D15"/>
    <w:rsid w:val="00C80EC6"/>
    <w:rsid w:val="00C81480"/>
    <w:rsid w:val="00C846F4"/>
    <w:rsid w:val="00C84B4F"/>
    <w:rsid w:val="00C84EEE"/>
    <w:rsid w:val="00C854FC"/>
    <w:rsid w:val="00C855A4"/>
    <w:rsid w:val="00C85E39"/>
    <w:rsid w:val="00C863A6"/>
    <w:rsid w:val="00CA0D1F"/>
    <w:rsid w:val="00CA3D61"/>
    <w:rsid w:val="00CA4655"/>
    <w:rsid w:val="00CA49ED"/>
    <w:rsid w:val="00CA56D2"/>
    <w:rsid w:val="00CA6439"/>
    <w:rsid w:val="00CA6B75"/>
    <w:rsid w:val="00CA6E68"/>
    <w:rsid w:val="00CA706D"/>
    <w:rsid w:val="00CA7070"/>
    <w:rsid w:val="00CB174D"/>
    <w:rsid w:val="00CB2979"/>
    <w:rsid w:val="00CB4F0A"/>
    <w:rsid w:val="00CB54AF"/>
    <w:rsid w:val="00CB5934"/>
    <w:rsid w:val="00CB6241"/>
    <w:rsid w:val="00CC06A5"/>
    <w:rsid w:val="00CC2622"/>
    <w:rsid w:val="00CC47FA"/>
    <w:rsid w:val="00CC68E4"/>
    <w:rsid w:val="00CC70A4"/>
    <w:rsid w:val="00CC7CF0"/>
    <w:rsid w:val="00CD1893"/>
    <w:rsid w:val="00CD4673"/>
    <w:rsid w:val="00CD4AD9"/>
    <w:rsid w:val="00CD6293"/>
    <w:rsid w:val="00CD6F55"/>
    <w:rsid w:val="00CE0E1A"/>
    <w:rsid w:val="00CE262F"/>
    <w:rsid w:val="00CE4575"/>
    <w:rsid w:val="00CE7029"/>
    <w:rsid w:val="00CE79A3"/>
    <w:rsid w:val="00CF10A8"/>
    <w:rsid w:val="00CF1E09"/>
    <w:rsid w:val="00CF321F"/>
    <w:rsid w:val="00CF322F"/>
    <w:rsid w:val="00CF48DC"/>
    <w:rsid w:val="00CF5D64"/>
    <w:rsid w:val="00CF6CE9"/>
    <w:rsid w:val="00D0176B"/>
    <w:rsid w:val="00D05D79"/>
    <w:rsid w:val="00D06300"/>
    <w:rsid w:val="00D11300"/>
    <w:rsid w:val="00D114A8"/>
    <w:rsid w:val="00D16FB4"/>
    <w:rsid w:val="00D17BC8"/>
    <w:rsid w:val="00D20C66"/>
    <w:rsid w:val="00D2344E"/>
    <w:rsid w:val="00D23F38"/>
    <w:rsid w:val="00D259AA"/>
    <w:rsid w:val="00D312B6"/>
    <w:rsid w:val="00D31D58"/>
    <w:rsid w:val="00D346CA"/>
    <w:rsid w:val="00D352B9"/>
    <w:rsid w:val="00D35E27"/>
    <w:rsid w:val="00D36073"/>
    <w:rsid w:val="00D363F3"/>
    <w:rsid w:val="00D36CF3"/>
    <w:rsid w:val="00D37B4E"/>
    <w:rsid w:val="00D37CAF"/>
    <w:rsid w:val="00D409AC"/>
    <w:rsid w:val="00D41CE7"/>
    <w:rsid w:val="00D45A79"/>
    <w:rsid w:val="00D46E3C"/>
    <w:rsid w:val="00D503FB"/>
    <w:rsid w:val="00D515FA"/>
    <w:rsid w:val="00D51D94"/>
    <w:rsid w:val="00D5258C"/>
    <w:rsid w:val="00D53C57"/>
    <w:rsid w:val="00D53DBC"/>
    <w:rsid w:val="00D54E2F"/>
    <w:rsid w:val="00D56FF1"/>
    <w:rsid w:val="00D60508"/>
    <w:rsid w:val="00D62B24"/>
    <w:rsid w:val="00D64A0F"/>
    <w:rsid w:val="00D64DDF"/>
    <w:rsid w:val="00D67D97"/>
    <w:rsid w:val="00D70891"/>
    <w:rsid w:val="00D70AFB"/>
    <w:rsid w:val="00D73950"/>
    <w:rsid w:val="00D75BC0"/>
    <w:rsid w:val="00D7637C"/>
    <w:rsid w:val="00D76C4C"/>
    <w:rsid w:val="00D77FC7"/>
    <w:rsid w:val="00D806C2"/>
    <w:rsid w:val="00D8573E"/>
    <w:rsid w:val="00D86EB9"/>
    <w:rsid w:val="00D90B27"/>
    <w:rsid w:val="00D90E24"/>
    <w:rsid w:val="00D92791"/>
    <w:rsid w:val="00D92CBA"/>
    <w:rsid w:val="00D92D5D"/>
    <w:rsid w:val="00D92DB7"/>
    <w:rsid w:val="00D9373F"/>
    <w:rsid w:val="00D95C8B"/>
    <w:rsid w:val="00DA2820"/>
    <w:rsid w:val="00DA339F"/>
    <w:rsid w:val="00DA59E2"/>
    <w:rsid w:val="00DB0852"/>
    <w:rsid w:val="00DB0AAA"/>
    <w:rsid w:val="00DB1A45"/>
    <w:rsid w:val="00DB233B"/>
    <w:rsid w:val="00DB3706"/>
    <w:rsid w:val="00DB3833"/>
    <w:rsid w:val="00DB6D0A"/>
    <w:rsid w:val="00DB7DF4"/>
    <w:rsid w:val="00DC3451"/>
    <w:rsid w:val="00DC3F0A"/>
    <w:rsid w:val="00DC424D"/>
    <w:rsid w:val="00DC4EC5"/>
    <w:rsid w:val="00DC5A2E"/>
    <w:rsid w:val="00DC7894"/>
    <w:rsid w:val="00DD2BDB"/>
    <w:rsid w:val="00DD2BEA"/>
    <w:rsid w:val="00DD4522"/>
    <w:rsid w:val="00DD56E5"/>
    <w:rsid w:val="00DD676D"/>
    <w:rsid w:val="00DE1608"/>
    <w:rsid w:val="00DE3217"/>
    <w:rsid w:val="00DE5B2C"/>
    <w:rsid w:val="00DE627A"/>
    <w:rsid w:val="00DE62EF"/>
    <w:rsid w:val="00DF0A0F"/>
    <w:rsid w:val="00DF18F1"/>
    <w:rsid w:val="00DF365C"/>
    <w:rsid w:val="00DF4128"/>
    <w:rsid w:val="00DF48E9"/>
    <w:rsid w:val="00DF5865"/>
    <w:rsid w:val="00DF6B55"/>
    <w:rsid w:val="00DF7058"/>
    <w:rsid w:val="00DF7C45"/>
    <w:rsid w:val="00E007E2"/>
    <w:rsid w:val="00E02C4C"/>
    <w:rsid w:val="00E038F4"/>
    <w:rsid w:val="00E06043"/>
    <w:rsid w:val="00E07A8B"/>
    <w:rsid w:val="00E124B2"/>
    <w:rsid w:val="00E12F09"/>
    <w:rsid w:val="00E12F33"/>
    <w:rsid w:val="00E145A2"/>
    <w:rsid w:val="00E1721E"/>
    <w:rsid w:val="00E20146"/>
    <w:rsid w:val="00E2135C"/>
    <w:rsid w:val="00E216B0"/>
    <w:rsid w:val="00E22D7A"/>
    <w:rsid w:val="00E23330"/>
    <w:rsid w:val="00E24738"/>
    <w:rsid w:val="00E30EF5"/>
    <w:rsid w:val="00E312E6"/>
    <w:rsid w:val="00E31455"/>
    <w:rsid w:val="00E332CB"/>
    <w:rsid w:val="00E35EDA"/>
    <w:rsid w:val="00E44324"/>
    <w:rsid w:val="00E44EF1"/>
    <w:rsid w:val="00E457E6"/>
    <w:rsid w:val="00E502B4"/>
    <w:rsid w:val="00E506C2"/>
    <w:rsid w:val="00E508EA"/>
    <w:rsid w:val="00E51934"/>
    <w:rsid w:val="00E55091"/>
    <w:rsid w:val="00E551DE"/>
    <w:rsid w:val="00E551FA"/>
    <w:rsid w:val="00E559BD"/>
    <w:rsid w:val="00E5685E"/>
    <w:rsid w:val="00E617D2"/>
    <w:rsid w:val="00E61908"/>
    <w:rsid w:val="00E62759"/>
    <w:rsid w:val="00E62C36"/>
    <w:rsid w:val="00E64EF6"/>
    <w:rsid w:val="00E704F5"/>
    <w:rsid w:val="00E7329C"/>
    <w:rsid w:val="00E74C91"/>
    <w:rsid w:val="00E74CAF"/>
    <w:rsid w:val="00E7578D"/>
    <w:rsid w:val="00E81C2F"/>
    <w:rsid w:val="00E82E8D"/>
    <w:rsid w:val="00E83E6D"/>
    <w:rsid w:val="00E84C77"/>
    <w:rsid w:val="00E860B7"/>
    <w:rsid w:val="00E86171"/>
    <w:rsid w:val="00E874D1"/>
    <w:rsid w:val="00E90CA6"/>
    <w:rsid w:val="00E90D25"/>
    <w:rsid w:val="00E91423"/>
    <w:rsid w:val="00E918F8"/>
    <w:rsid w:val="00E9258E"/>
    <w:rsid w:val="00E9357E"/>
    <w:rsid w:val="00E93D99"/>
    <w:rsid w:val="00E94639"/>
    <w:rsid w:val="00E97424"/>
    <w:rsid w:val="00EA0933"/>
    <w:rsid w:val="00EA2DF7"/>
    <w:rsid w:val="00EA3936"/>
    <w:rsid w:val="00EA3B5B"/>
    <w:rsid w:val="00EA4762"/>
    <w:rsid w:val="00EA7F58"/>
    <w:rsid w:val="00EB05FE"/>
    <w:rsid w:val="00EB3414"/>
    <w:rsid w:val="00EB3858"/>
    <w:rsid w:val="00EB40A9"/>
    <w:rsid w:val="00EB5E94"/>
    <w:rsid w:val="00EC50E3"/>
    <w:rsid w:val="00EC50F9"/>
    <w:rsid w:val="00EC5AED"/>
    <w:rsid w:val="00EC6E2D"/>
    <w:rsid w:val="00EC74AA"/>
    <w:rsid w:val="00ED0838"/>
    <w:rsid w:val="00ED45E0"/>
    <w:rsid w:val="00ED486B"/>
    <w:rsid w:val="00ED4D9F"/>
    <w:rsid w:val="00ED77AF"/>
    <w:rsid w:val="00EE060A"/>
    <w:rsid w:val="00EE111A"/>
    <w:rsid w:val="00EE2DC4"/>
    <w:rsid w:val="00EE2FD1"/>
    <w:rsid w:val="00EE380D"/>
    <w:rsid w:val="00EE4B62"/>
    <w:rsid w:val="00EE769E"/>
    <w:rsid w:val="00EF0AD9"/>
    <w:rsid w:val="00EF140B"/>
    <w:rsid w:val="00EF4609"/>
    <w:rsid w:val="00F01ED1"/>
    <w:rsid w:val="00F03ED6"/>
    <w:rsid w:val="00F061C6"/>
    <w:rsid w:val="00F065BB"/>
    <w:rsid w:val="00F070B6"/>
    <w:rsid w:val="00F0721A"/>
    <w:rsid w:val="00F15029"/>
    <w:rsid w:val="00F16D21"/>
    <w:rsid w:val="00F17DE6"/>
    <w:rsid w:val="00F25742"/>
    <w:rsid w:val="00F26BC3"/>
    <w:rsid w:val="00F272C5"/>
    <w:rsid w:val="00F3094C"/>
    <w:rsid w:val="00F30E03"/>
    <w:rsid w:val="00F41200"/>
    <w:rsid w:val="00F41944"/>
    <w:rsid w:val="00F42725"/>
    <w:rsid w:val="00F42B78"/>
    <w:rsid w:val="00F445B7"/>
    <w:rsid w:val="00F44CBC"/>
    <w:rsid w:val="00F457AD"/>
    <w:rsid w:val="00F45A64"/>
    <w:rsid w:val="00F477BA"/>
    <w:rsid w:val="00F47AEB"/>
    <w:rsid w:val="00F50F98"/>
    <w:rsid w:val="00F51834"/>
    <w:rsid w:val="00F54A5E"/>
    <w:rsid w:val="00F550A7"/>
    <w:rsid w:val="00F550EF"/>
    <w:rsid w:val="00F55501"/>
    <w:rsid w:val="00F55713"/>
    <w:rsid w:val="00F55773"/>
    <w:rsid w:val="00F561A7"/>
    <w:rsid w:val="00F5780E"/>
    <w:rsid w:val="00F60A25"/>
    <w:rsid w:val="00F630A8"/>
    <w:rsid w:val="00F63B39"/>
    <w:rsid w:val="00F64C46"/>
    <w:rsid w:val="00F6741B"/>
    <w:rsid w:val="00F679C4"/>
    <w:rsid w:val="00F70A54"/>
    <w:rsid w:val="00F71231"/>
    <w:rsid w:val="00F71610"/>
    <w:rsid w:val="00F7185B"/>
    <w:rsid w:val="00F72FB6"/>
    <w:rsid w:val="00F73223"/>
    <w:rsid w:val="00F74B3B"/>
    <w:rsid w:val="00F751A2"/>
    <w:rsid w:val="00F76191"/>
    <w:rsid w:val="00F7660C"/>
    <w:rsid w:val="00F77E5F"/>
    <w:rsid w:val="00F81843"/>
    <w:rsid w:val="00F81C1B"/>
    <w:rsid w:val="00F81DDD"/>
    <w:rsid w:val="00F835C3"/>
    <w:rsid w:val="00F83FCF"/>
    <w:rsid w:val="00F842B7"/>
    <w:rsid w:val="00F84A9E"/>
    <w:rsid w:val="00F87B6F"/>
    <w:rsid w:val="00F9038B"/>
    <w:rsid w:val="00F9176D"/>
    <w:rsid w:val="00F9245F"/>
    <w:rsid w:val="00F94ADA"/>
    <w:rsid w:val="00F954DF"/>
    <w:rsid w:val="00FA0CF5"/>
    <w:rsid w:val="00FA31D3"/>
    <w:rsid w:val="00FA3733"/>
    <w:rsid w:val="00FA466E"/>
    <w:rsid w:val="00FA6BA8"/>
    <w:rsid w:val="00FA754C"/>
    <w:rsid w:val="00FB170F"/>
    <w:rsid w:val="00FB20CF"/>
    <w:rsid w:val="00FB3415"/>
    <w:rsid w:val="00FB3A4F"/>
    <w:rsid w:val="00FB4744"/>
    <w:rsid w:val="00FB4C17"/>
    <w:rsid w:val="00FB4CF9"/>
    <w:rsid w:val="00FB4D80"/>
    <w:rsid w:val="00FB692A"/>
    <w:rsid w:val="00FC0E1F"/>
    <w:rsid w:val="00FC39B6"/>
    <w:rsid w:val="00FC3E8B"/>
    <w:rsid w:val="00FC5285"/>
    <w:rsid w:val="00FC5CCC"/>
    <w:rsid w:val="00FD1FDB"/>
    <w:rsid w:val="00FD42DA"/>
    <w:rsid w:val="00FD765C"/>
    <w:rsid w:val="00FE00F1"/>
    <w:rsid w:val="00FE0103"/>
    <w:rsid w:val="00FE0E36"/>
    <w:rsid w:val="00FE0F38"/>
    <w:rsid w:val="00FE3BE6"/>
    <w:rsid w:val="00FE437A"/>
    <w:rsid w:val="00FE4F3A"/>
    <w:rsid w:val="00FE5CB3"/>
    <w:rsid w:val="00FE6166"/>
    <w:rsid w:val="00FE6D45"/>
    <w:rsid w:val="00FF03F0"/>
    <w:rsid w:val="00FF21F9"/>
    <w:rsid w:val="00FF310A"/>
    <w:rsid w:val="00FF5320"/>
    <w:rsid w:val="00FF556B"/>
    <w:rsid w:val="00FF62C6"/>
    <w:rsid w:val="00FF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3D44"/>
  <w15:docId w15:val="{522967BF-E5B4-4365-ACB4-3F5ADEB2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C1"/>
    <w:pPr>
      <w:spacing w:after="240" w:line="240" w:lineRule="auto"/>
    </w:pPr>
    <w:rPr>
      <w:rFonts w:ascii="Times New Roman" w:eastAsia="SimSun" w:hAnsi="Times New Roman"/>
      <w:b/>
      <w:sz w:val="24"/>
      <w:szCs w:val="20"/>
    </w:rPr>
  </w:style>
  <w:style w:type="paragraph" w:styleId="Heading1">
    <w:name w:val="heading 1"/>
    <w:basedOn w:val="Normal"/>
    <w:next w:val="Normal"/>
    <w:link w:val="Heading1Char"/>
    <w:autoRedefine/>
    <w:qFormat/>
    <w:rsid w:val="00FE4F3A"/>
    <w:pPr>
      <w:keepNext/>
      <w:spacing w:before="240" w:line="480" w:lineRule="auto"/>
      <w:outlineLvl w:val="0"/>
    </w:pPr>
    <w:rPr>
      <w:rFonts w:cs="Times New Roman"/>
      <w:sz w:val="32"/>
      <w:szCs w:val="32"/>
    </w:rPr>
  </w:style>
  <w:style w:type="paragraph" w:styleId="Heading2">
    <w:name w:val="heading 2"/>
    <w:basedOn w:val="Normal"/>
    <w:next w:val="Normal"/>
    <w:link w:val="Heading2Char"/>
    <w:qFormat/>
    <w:rsid w:val="00114287"/>
    <w:pPr>
      <w:keepNext/>
      <w:spacing w:before="240" w:line="480" w:lineRule="auto"/>
      <w:outlineLvl w:val="1"/>
    </w:pPr>
    <w:rPr>
      <w:rFonts w:cs="Times New Roman"/>
      <w:sz w:val="28"/>
      <w:szCs w:val="28"/>
    </w:rPr>
  </w:style>
  <w:style w:type="paragraph" w:styleId="Heading3">
    <w:name w:val="heading 3"/>
    <w:next w:val="Normal"/>
    <w:link w:val="Heading3Char"/>
    <w:qFormat/>
    <w:rsid w:val="004904C1"/>
    <w:pPr>
      <w:keepNext/>
      <w:keepLines/>
      <w:numPr>
        <w:ilvl w:val="2"/>
        <w:numId w:val="4"/>
      </w:numPr>
      <w:spacing w:after="240" w:line="240" w:lineRule="auto"/>
      <w:outlineLvl w:val="2"/>
    </w:pPr>
    <w:rPr>
      <w:rFonts w:ascii="Arial" w:eastAsia="Times New Roman" w:hAnsi="Arial" w:cs="Arial"/>
      <w:bCs/>
      <w:sz w:val="24"/>
      <w:szCs w:val="24"/>
      <w:lang w:val="en-US"/>
    </w:rPr>
  </w:style>
  <w:style w:type="paragraph" w:styleId="Heading5">
    <w:name w:val="heading 5"/>
    <w:next w:val="Normal"/>
    <w:link w:val="Heading5Char"/>
    <w:qFormat/>
    <w:rsid w:val="004904C1"/>
    <w:pPr>
      <w:keepNext/>
      <w:keepLines/>
      <w:numPr>
        <w:ilvl w:val="4"/>
        <w:numId w:val="4"/>
      </w:numPr>
      <w:spacing w:after="240" w:line="240" w:lineRule="auto"/>
      <w:outlineLvl w:val="4"/>
    </w:pPr>
    <w:rPr>
      <w:rFonts w:ascii="Arial" w:eastAsia="Times New Roman" w:hAnsi="Arial" w:cs="Arial"/>
      <w:b/>
      <w:bCs/>
      <w:iCs/>
      <w:smallCaps/>
      <w:lang w:val="en-US"/>
    </w:rPr>
  </w:style>
  <w:style w:type="paragraph" w:styleId="Heading6">
    <w:name w:val="heading 6"/>
    <w:next w:val="Normal"/>
    <w:link w:val="Heading6Char"/>
    <w:qFormat/>
    <w:rsid w:val="004904C1"/>
    <w:pPr>
      <w:keepNext/>
      <w:keepLines/>
      <w:numPr>
        <w:ilvl w:val="5"/>
        <w:numId w:val="4"/>
      </w:numPr>
      <w:spacing w:after="240" w:line="240" w:lineRule="auto"/>
      <w:outlineLvl w:val="5"/>
    </w:pPr>
    <w:rPr>
      <w:rFonts w:ascii="Arial" w:eastAsia="Times New Roman" w:hAnsi="Arial" w:cs="Arial"/>
      <w:b/>
      <w:bCs/>
      <w:lang w:val="en-US"/>
    </w:rPr>
  </w:style>
  <w:style w:type="paragraph" w:styleId="Heading7">
    <w:name w:val="heading 7"/>
    <w:aliases w:val="DontUse!"/>
    <w:next w:val="Normal"/>
    <w:link w:val="Heading7Char"/>
    <w:qFormat/>
    <w:rsid w:val="004904C1"/>
    <w:pPr>
      <w:keepNext/>
      <w:keepLines/>
      <w:numPr>
        <w:ilvl w:val="6"/>
        <w:numId w:val="4"/>
      </w:numPr>
      <w:spacing w:after="240" w:line="240" w:lineRule="auto"/>
      <w:outlineLvl w:val="6"/>
    </w:pPr>
    <w:rPr>
      <w:rFonts w:ascii="Arial" w:eastAsia="Times New Roman" w:hAnsi="Arial" w:cs="Arial"/>
      <w:i/>
      <w:szCs w:val="24"/>
      <w:lang w:val="en-US"/>
    </w:rPr>
  </w:style>
  <w:style w:type="paragraph" w:styleId="Heading8">
    <w:name w:val="heading 8"/>
    <w:aliases w:val="DO NOT USE2,DO NOT USE21,don'tUse"/>
    <w:next w:val="Normal"/>
    <w:link w:val="Heading8Char"/>
    <w:qFormat/>
    <w:rsid w:val="004904C1"/>
    <w:pPr>
      <w:keepNext/>
      <w:keepLines/>
      <w:numPr>
        <w:ilvl w:val="7"/>
        <w:numId w:val="4"/>
      </w:numPr>
      <w:spacing w:after="240" w:line="240" w:lineRule="auto"/>
      <w:outlineLvl w:val="7"/>
    </w:pPr>
    <w:rPr>
      <w:rFonts w:ascii="Arial" w:eastAsia="Times New Roman" w:hAnsi="Arial" w:cs="Arial"/>
      <w:i/>
      <w:iCs/>
      <w:szCs w:val="24"/>
      <w:lang w:val="en-US"/>
    </w:rPr>
  </w:style>
  <w:style w:type="paragraph" w:styleId="Heading9">
    <w:name w:val="heading 9"/>
    <w:aliases w:val="Don'tUse"/>
    <w:next w:val="Normal"/>
    <w:link w:val="Heading9Char"/>
    <w:qFormat/>
    <w:rsid w:val="004904C1"/>
    <w:pPr>
      <w:keepNext/>
      <w:keepLines/>
      <w:numPr>
        <w:ilvl w:val="8"/>
        <w:numId w:val="4"/>
      </w:numPr>
      <w:spacing w:after="240" w:line="240" w:lineRule="auto"/>
      <w:outlineLvl w:val="8"/>
    </w:pPr>
    <w:rPr>
      <w:rFonts w:ascii="Arial" w:eastAsia="Times New Roman" w:hAnsi="Arial" w:cs="Arial"/>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F3A"/>
    <w:rPr>
      <w:rFonts w:ascii="Times New Roman" w:eastAsia="SimSun" w:hAnsi="Times New Roman" w:cs="Times New Roman"/>
      <w:b/>
      <w:sz w:val="32"/>
      <w:szCs w:val="32"/>
    </w:rPr>
  </w:style>
  <w:style w:type="character" w:customStyle="1" w:styleId="Heading2Char">
    <w:name w:val="Heading 2 Char"/>
    <w:basedOn w:val="DefaultParagraphFont"/>
    <w:link w:val="Heading2"/>
    <w:rsid w:val="00114287"/>
    <w:rPr>
      <w:rFonts w:ascii="Times New Roman" w:eastAsia="SimSun" w:hAnsi="Times New Roman" w:cs="Times New Roman"/>
      <w:b/>
      <w:sz w:val="28"/>
      <w:szCs w:val="28"/>
    </w:rPr>
  </w:style>
  <w:style w:type="character" w:customStyle="1" w:styleId="Heading3Char">
    <w:name w:val="Heading 3 Char"/>
    <w:basedOn w:val="DefaultParagraphFont"/>
    <w:link w:val="Heading3"/>
    <w:rsid w:val="004904C1"/>
    <w:rPr>
      <w:rFonts w:ascii="Arial" w:eastAsia="Times New Roman" w:hAnsi="Arial" w:cs="Arial"/>
      <w:bCs/>
      <w:sz w:val="24"/>
      <w:szCs w:val="24"/>
      <w:lang w:val="en-US"/>
    </w:rPr>
  </w:style>
  <w:style w:type="character" w:customStyle="1" w:styleId="Heading5Char">
    <w:name w:val="Heading 5 Char"/>
    <w:basedOn w:val="DefaultParagraphFont"/>
    <w:link w:val="Heading5"/>
    <w:rsid w:val="004904C1"/>
    <w:rPr>
      <w:rFonts w:ascii="Arial" w:eastAsia="Times New Roman" w:hAnsi="Arial" w:cs="Arial"/>
      <w:b/>
      <w:bCs/>
      <w:iCs/>
      <w:smallCaps/>
      <w:lang w:val="en-US"/>
    </w:rPr>
  </w:style>
  <w:style w:type="character" w:customStyle="1" w:styleId="Heading6Char">
    <w:name w:val="Heading 6 Char"/>
    <w:basedOn w:val="DefaultParagraphFont"/>
    <w:link w:val="Heading6"/>
    <w:rsid w:val="004904C1"/>
    <w:rPr>
      <w:rFonts w:ascii="Arial" w:eastAsia="Times New Roman" w:hAnsi="Arial" w:cs="Arial"/>
      <w:b/>
      <w:bCs/>
      <w:lang w:val="en-US"/>
    </w:rPr>
  </w:style>
  <w:style w:type="character" w:customStyle="1" w:styleId="Heading7Char">
    <w:name w:val="Heading 7 Char"/>
    <w:aliases w:val="DontUse! Char"/>
    <w:basedOn w:val="DefaultParagraphFont"/>
    <w:link w:val="Heading7"/>
    <w:rsid w:val="004904C1"/>
    <w:rPr>
      <w:rFonts w:ascii="Arial" w:eastAsia="Times New Roman" w:hAnsi="Arial" w:cs="Arial"/>
      <w:i/>
      <w:szCs w:val="24"/>
      <w:lang w:val="en-US"/>
    </w:rPr>
  </w:style>
  <w:style w:type="character" w:customStyle="1" w:styleId="Heading8Char">
    <w:name w:val="Heading 8 Char"/>
    <w:aliases w:val="DO NOT USE2 Char,DO NOT USE21 Char,don'tUse Char"/>
    <w:basedOn w:val="DefaultParagraphFont"/>
    <w:link w:val="Heading8"/>
    <w:rsid w:val="004904C1"/>
    <w:rPr>
      <w:rFonts w:ascii="Arial" w:eastAsia="Times New Roman" w:hAnsi="Arial" w:cs="Arial"/>
      <w:i/>
      <w:iCs/>
      <w:szCs w:val="24"/>
      <w:lang w:val="en-US"/>
    </w:rPr>
  </w:style>
  <w:style w:type="character" w:customStyle="1" w:styleId="Heading9Char">
    <w:name w:val="Heading 9 Char"/>
    <w:aliases w:val="Don'tUse Char"/>
    <w:basedOn w:val="DefaultParagraphFont"/>
    <w:link w:val="Heading9"/>
    <w:rsid w:val="004904C1"/>
    <w:rPr>
      <w:rFonts w:ascii="Arial" w:eastAsia="Times New Roman" w:hAnsi="Arial" w:cs="Arial"/>
      <w:i/>
      <w:szCs w:val="24"/>
      <w:lang w:val="en-US"/>
    </w:rPr>
  </w:style>
  <w:style w:type="paragraph" w:styleId="BalloonText">
    <w:name w:val="Balloon Text"/>
    <w:basedOn w:val="Normal"/>
    <w:link w:val="BalloonTextChar"/>
    <w:uiPriority w:val="99"/>
    <w:unhideWhenUsed/>
    <w:rsid w:val="004904C1"/>
    <w:pPr>
      <w:spacing w:after="0" w:line="259" w:lineRule="auto"/>
    </w:pPr>
    <w:rPr>
      <w:rFonts w:ascii="Segoe UI" w:eastAsia="Times New Roman" w:hAnsi="Segoe UI" w:cs="Times New Roman"/>
      <w:b w:val="0"/>
      <w:sz w:val="18"/>
      <w:szCs w:val="18"/>
    </w:rPr>
  </w:style>
  <w:style w:type="character" w:customStyle="1" w:styleId="BalloonTextChar">
    <w:name w:val="Balloon Text Char"/>
    <w:basedOn w:val="DefaultParagraphFont"/>
    <w:link w:val="BalloonText"/>
    <w:uiPriority w:val="99"/>
    <w:rsid w:val="004904C1"/>
    <w:rPr>
      <w:rFonts w:ascii="Segoe UI" w:eastAsia="Times New Roman" w:hAnsi="Segoe UI" w:cs="Times New Roman"/>
      <w:sz w:val="18"/>
      <w:szCs w:val="18"/>
    </w:rPr>
  </w:style>
  <w:style w:type="character" w:customStyle="1" w:styleId="highlight">
    <w:name w:val="highlight"/>
    <w:basedOn w:val="DefaultParagraphFont"/>
    <w:rsid w:val="004904C1"/>
  </w:style>
  <w:style w:type="character" w:customStyle="1" w:styleId="jrnl">
    <w:name w:val="jrnl"/>
    <w:basedOn w:val="DefaultParagraphFont"/>
    <w:rsid w:val="004904C1"/>
  </w:style>
  <w:style w:type="table" w:customStyle="1" w:styleId="TableGrid2">
    <w:name w:val="Table Grid2"/>
    <w:basedOn w:val="TableNormal"/>
    <w:uiPriority w:val="39"/>
    <w:rsid w:val="004904C1"/>
    <w:pPr>
      <w:spacing w:after="0" w:line="240" w:lineRule="auto"/>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qFormat/>
    <w:rsid w:val="004904C1"/>
    <w:pPr>
      <w:spacing w:after="160" w:line="259" w:lineRule="auto"/>
    </w:pPr>
    <w:rPr>
      <w:rFonts w:eastAsia="Times New Roman" w:cs="Times New Roman"/>
      <w:b w:val="0"/>
      <w:sz w:val="20"/>
      <w:szCs w:val="22"/>
    </w:rPr>
  </w:style>
  <w:style w:type="character" w:customStyle="1" w:styleId="CommentTextChar">
    <w:name w:val="Comment Text Char"/>
    <w:basedOn w:val="DefaultParagraphFont"/>
    <w:link w:val="CommentText"/>
    <w:uiPriority w:val="99"/>
    <w:rsid w:val="004904C1"/>
    <w:rPr>
      <w:rFonts w:ascii="Times New Roman" w:eastAsia="Times New Roman" w:hAnsi="Times New Roman" w:cs="Times New Roman"/>
      <w:sz w:val="20"/>
    </w:rPr>
  </w:style>
  <w:style w:type="character" w:styleId="CommentReference">
    <w:name w:val="annotation reference"/>
    <w:basedOn w:val="DefaultParagraphFont"/>
    <w:uiPriority w:val="99"/>
    <w:semiHidden/>
    <w:unhideWhenUsed/>
    <w:rsid w:val="004904C1"/>
    <w:rPr>
      <w:sz w:val="16"/>
      <w:szCs w:val="16"/>
    </w:rPr>
  </w:style>
  <w:style w:type="character" w:styleId="Hyperlink">
    <w:name w:val="Hyperlink"/>
    <w:basedOn w:val="DefaultParagraphFont"/>
    <w:uiPriority w:val="99"/>
    <w:unhideWhenUsed/>
    <w:rsid w:val="004904C1"/>
    <w:rPr>
      <w:color w:val="0563C1" w:themeColor="hyperlink"/>
      <w:u w:val="single"/>
    </w:rPr>
  </w:style>
  <w:style w:type="paragraph" w:styleId="NormalWeb">
    <w:name w:val="Normal (Web)"/>
    <w:basedOn w:val="Normal"/>
    <w:uiPriority w:val="99"/>
    <w:semiHidden/>
    <w:unhideWhenUsed/>
    <w:rsid w:val="004904C1"/>
    <w:pPr>
      <w:spacing w:before="100" w:beforeAutospacing="1" w:after="100" w:afterAutospacing="1"/>
    </w:pPr>
    <w:rPr>
      <w:rFonts w:eastAsia="Times New Roman" w:cs="Times New Roman"/>
      <w:b w:val="0"/>
      <w:szCs w:val="24"/>
      <w:lang w:eastAsia="en-GB"/>
    </w:rPr>
  </w:style>
  <w:style w:type="paragraph" w:styleId="CommentSubject">
    <w:name w:val="annotation subject"/>
    <w:basedOn w:val="CommentText"/>
    <w:next w:val="CommentText"/>
    <w:link w:val="CommentSubjectChar"/>
    <w:uiPriority w:val="99"/>
    <w:semiHidden/>
    <w:unhideWhenUsed/>
    <w:rsid w:val="004904C1"/>
    <w:rPr>
      <w:bCs/>
    </w:rPr>
  </w:style>
  <w:style w:type="character" w:customStyle="1" w:styleId="CommentSubjectChar">
    <w:name w:val="Comment Subject Char"/>
    <w:basedOn w:val="CommentTextChar"/>
    <w:link w:val="CommentSubject"/>
    <w:uiPriority w:val="99"/>
    <w:semiHidden/>
    <w:rsid w:val="004904C1"/>
    <w:rPr>
      <w:rFonts w:ascii="Times New Roman" w:eastAsia="Times New Roman" w:hAnsi="Times New Roman" w:cs="Times New Roman"/>
      <w:bCs/>
      <w:sz w:val="20"/>
    </w:rPr>
  </w:style>
  <w:style w:type="paragraph" w:styleId="ListParagraph">
    <w:name w:val="List Paragraph"/>
    <w:aliases w:val="Bullet1,Bullet 1,Bullet List,Section 5"/>
    <w:basedOn w:val="Normal"/>
    <w:link w:val="ListParagraphChar"/>
    <w:uiPriority w:val="34"/>
    <w:qFormat/>
    <w:rsid w:val="004904C1"/>
    <w:pPr>
      <w:ind w:left="720"/>
      <w:contextualSpacing/>
    </w:pPr>
    <w:rPr>
      <w:rFonts w:eastAsia="Times New Roman" w:cs="Times New Roman"/>
    </w:rPr>
  </w:style>
  <w:style w:type="paragraph" w:customStyle="1" w:styleId="EndNoteBibliographyTitle">
    <w:name w:val="EndNote Bibliography Title"/>
    <w:basedOn w:val="Normal"/>
    <w:link w:val="EndNoteBibliographyTitleChar"/>
    <w:rsid w:val="004904C1"/>
    <w:pPr>
      <w:spacing w:after="0"/>
      <w:jc w:val="center"/>
    </w:pPr>
    <w:rPr>
      <w:rFonts w:eastAsia="Times New Roman" w:cs="Times New Roman"/>
      <w:noProof/>
      <w:lang w:val="en-US"/>
    </w:rPr>
  </w:style>
  <w:style w:type="character" w:customStyle="1" w:styleId="EndNoteBibliographyTitleChar">
    <w:name w:val="EndNote Bibliography Title Char"/>
    <w:basedOn w:val="ListParagraphChar"/>
    <w:link w:val="EndNoteBibliographyTitle"/>
    <w:rsid w:val="004904C1"/>
    <w:rPr>
      <w:rFonts w:ascii="Times New Roman" w:eastAsia="Times New Roman" w:hAnsi="Times New Roman" w:cs="Times New Roman"/>
      <w:b/>
      <w:noProof/>
      <w:sz w:val="24"/>
      <w:szCs w:val="20"/>
      <w:lang w:val="en-US"/>
    </w:rPr>
  </w:style>
  <w:style w:type="paragraph" w:customStyle="1" w:styleId="EndNoteBibliography">
    <w:name w:val="EndNote Bibliography"/>
    <w:basedOn w:val="Normal"/>
    <w:link w:val="EndNoteBibliographyChar"/>
    <w:rsid w:val="001344B1"/>
    <w:pPr>
      <w:spacing w:line="480" w:lineRule="auto"/>
    </w:pPr>
    <w:rPr>
      <w:rFonts w:eastAsia="Times New Roman" w:cs="Times New Roman"/>
      <w:b w:val="0"/>
      <w:noProof/>
      <w:lang w:val="en-US"/>
    </w:rPr>
  </w:style>
  <w:style w:type="character" w:customStyle="1" w:styleId="EndNoteBibliographyChar">
    <w:name w:val="EndNote Bibliography Char"/>
    <w:basedOn w:val="ListParagraphChar"/>
    <w:link w:val="EndNoteBibliography"/>
    <w:rsid w:val="001344B1"/>
    <w:rPr>
      <w:rFonts w:ascii="Times New Roman" w:eastAsia="Times New Roman" w:hAnsi="Times New Roman" w:cs="Times New Roman"/>
      <w:b w:val="0"/>
      <w:noProof/>
      <w:sz w:val="24"/>
      <w:szCs w:val="20"/>
      <w:lang w:val="en-US"/>
    </w:rPr>
  </w:style>
  <w:style w:type="paragraph" w:styleId="Header">
    <w:name w:val="header"/>
    <w:basedOn w:val="Normal"/>
    <w:link w:val="HeaderChar"/>
    <w:uiPriority w:val="99"/>
    <w:unhideWhenUsed/>
    <w:rsid w:val="004904C1"/>
    <w:pPr>
      <w:tabs>
        <w:tab w:val="center" w:pos="4513"/>
        <w:tab w:val="right" w:pos="9026"/>
      </w:tabs>
      <w:spacing w:after="0"/>
    </w:pPr>
    <w:rPr>
      <w:rFonts w:eastAsia="Times New Roman" w:cs="Times New Roman"/>
    </w:rPr>
  </w:style>
  <w:style w:type="character" w:customStyle="1" w:styleId="HeaderChar">
    <w:name w:val="Header Char"/>
    <w:basedOn w:val="DefaultParagraphFont"/>
    <w:link w:val="Header"/>
    <w:uiPriority w:val="99"/>
    <w:rsid w:val="004904C1"/>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4904C1"/>
    <w:pPr>
      <w:tabs>
        <w:tab w:val="center" w:pos="4513"/>
        <w:tab w:val="right" w:pos="9026"/>
      </w:tabs>
      <w:spacing w:after="0"/>
    </w:pPr>
    <w:rPr>
      <w:rFonts w:eastAsia="Times New Roman" w:cs="Times New Roman"/>
    </w:rPr>
  </w:style>
  <w:style w:type="character" w:customStyle="1" w:styleId="FooterChar">
    <w:name w:val="Footer Char"/>
    <w:basedOn w:val="DefaultParagraphFont"/>
    <w:link w:val="Footer"/>
    <w:uiPriority w:val="99"/>
    <w:rsid w:val="004904C1"/>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4904C1"/>
    <w:rPr>
      <w:color w:val="808080"/>
    </w:rPr>
  </w:style>
  <w:style w:type="character" w:customStyle="1" w:styleId="ListParagraphChar">
    <w:name w:val="List Paragraph Char"/>
    <w:aliases w:val="Bullet1 Char,Bullet 1 Char,Bullet List Char,Section 5 Char"/>
    <w:basedOn w:val="DefaultParagraphFont"/>
    <w:link w:val="ListParagraph"/>
    <w:uiPriority w:val="34"/>
    <w:rsid w:val="004904C1"/>
    <w:rPr>
      <w:rFonts w:ascii="Times New Roman" w:eastAsia="Times New Roman" w:hAnsi="Times New Roman" w:cs="Times New Roman"/>
      <w:b/>
      <w:sz w:val="24"/>
      <w:szCs w:val="20"/>
    </w:rPr>
  </w:style>
  <w:style w:type="paragraph" w:styleId="ListBullet">
    <w:name w:val="List Bullet"/>
    <w:rsid w:val="004904C1"/>
    <w:pPr>
      <w:numPr>
        <w:numId w:val="3"/>
      </w:numPr>
      <w:tabs>
        <w:tab w:val="clear" w:pos="3240"/>
        <w:tab w:val="num" w:pos="360"/>
      </w:tabs>
      <w:spacing w:after="0" w:line="240" w:lineRule="auto"/>
      <w:ind w:left="360"/>
    </w:pPr>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4904C1"/>
    <w:rPr>
      <w:color w:val="954F72" w:themeColor="followedHyperlink"/>
      <w:u w:val="single"/>
    </w:rPr>
  </w:style>
  <w:style w:type="table" w:styleId="TableGrid">
    <w:name w:val="Table Grid"/>
    <w:basedOn w:val="TableNormal"/>
    <w:uiPriority w:val="39"/>
    <w:rsid w:val="004904C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04C1"/>
    <w:pPr>
      <w:spacing w:after="0" w:line="240" w:lineRule="auto"/>
    </w:pPr>
    <w:rPr>
      <w:rFonts w:ascii="Times New Roman" w:eastAsia="SimSun" w:hAnsi="Times New Roman"/>
      <w:b/>
      <w:sz w:val="24"/>
      <w:szCs w:val="20"/>
    </w:rPr>
  </w:style>
  <w:style w:type="paragraph" w:styleId="Title">
    <w:name w:val="Title"/>
    <w:basedOn w:val="Normal"/>
    <w:next w:val="Normal"/>
    <w:link w:val="TitleChar"/>
    <w:uiPriority w:val="10"/>
    <w:qFormat/>
    <w:rsid w:val="00FE4F3A"/>
    <w:pPr>
      <w:spacing w:line="480" w:lineRule="auto"/>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FE4F3A"/>
    <w:rPr>
      <w:rFonts w:ascii="Times New Roman" w:eastAsiaTheme="majorEastAsia" w:hAnsi="Times New Roman"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20066">
      <w:bodyDiv w:val="1"/>
      <w:marLeft w:val="0"/>
      <w:marRight w:val="0"/>
      <w:marTop w:val="0"/>
      <w:marBottom w:val="0"/>
      <w:divBdr>
        <w:top w:val="none" w:sz="0" w:space="0" w:color="auto"/>
        <w:left w:val="none" w:sz="0" w:space="0" w:color="auto"/>
        <w:bottom w:val="none" w:sz="0" w:space="0" w:color="auto"/>
        <w:right w:val="none" w:sz="0" w:space="0" w:color="auto"/>
      </w:divBdr>
    </w:div>
    <w:div w:id="1561791356">
      <w:bodyDiv w:val="1"/>
      <w:marLeft w:val="0"/>
      <w:marRight w:val="0"/>
      <w:marTop w:val="0"/>
      <w:marBottom w:val="0"/>
      <w:divBdr>
        <w:top w:val="none" w:sz="0" w:space="0" w:color="auto"/>
        <w:left w:val="none" w:sz="0" w:space="0" w:color="auto"/>
        <w:bottom w:val="none" w:sz="0" w:space="0" w:color="auto"/>
        <w:right w:val="none" w:sz="0" w:space="0" w:color="auto"/>
      </w:divBdr>
    </w:div>
    <w:div w:id="20685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FA0963FA69A646AA916D2E41284FC10000A0AEF79B3E8B61408B342077AA6A4754" ma:contentTypeVersion="0" ma:contentTypeDescription="Create a new document." ma:contentTypeScope="" ma:versionID="7f1dffe815e084ff231b49e803d917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3176-44C2-4A5E-8059-AEF6749A02F2}">
  <ds:schemaRefs>
    <ds:schemaRef ds:uri="http://schemas.microsoft.com/sharepoint/v3/contenttype/forms"/>
  </ds:schemaRefs>
</ds:datastoreItem>
</file>

<file path=customXml/itemProps2.xml><?xml version="1.0" encoding="utf-8"?>
<ds:datastoreItem xmlns:ds="http://schemas.openxmlformats.org/officeDocument/2006/customXml" ds:itemID="{FB8BCA9F-1091-46EB-ABB8-2A91B85F7362}"/>
</file>

<file path=customXml/itemProps3.xml><?xml version="1.0" encoding="utf-8"?>
<ds:datastoreItem xmlns:ds="http://schemas.openxmlformats.org/officeDocument/2006/customXml" ds:itemID="{7F585640-331B-4E30-9A33-FA13FFF005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9D4DB4-44C7-4E15-B26E-BC29990C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MCM</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Joanna (GLA-CMC)</dc:creator>
  <cp:lastModifiedBy>Jake Casson</cp:lastModifiedBy>
  <cp:revision>2</cp:revision>
  <cp:lastPrinted>2019-05-13T07:58:00Z</cp:lastPrinted>
  <dcterms:created xsi:type="dcterms:W3CDTF">2020-03-23T12:49:00Z</dcterms:created>
  <dcterms:modified xsi:type="dcterms:W3CDTF">2020-03-23T12:49:00Z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0x010100FA0963FA69A646AA916D2E41284FC10000A0AEF79B3E8B61408B342077AA6A4754</vt:lpwstr>
  </property>
</Properties>
</file>